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3D12" w14:textId="3F63C3B7" w:rsidR="00B32AEE" w:rsidRPr="00D605F5" w:rsidRDefault="00D605F5" w:rsidP="00957988">
      <w:pPr>
        <w:spacing w:line="276" w:lineRule="auto"/>
        <w:jc w:val="center"/>
        <w:rPr>
          <w:rFonts w:ascii="Arial" w:hAnsi="Arial" w:cs="Arial"/>
        </w:rPr>
      </w:pPr>
      <w:r>
        <w:rPr>
          <w:rFonts w:ascii="Times New Roman" w:hAnsi="Times New Roman"/>
          <w:noProof/>
        </w:rPr>
        <w:drawing>
          <wp:anchor distT="0" distB="0" distL="114300" distR="114300" simplePos="0" relativeHeight="251659264" behindDoc="0" locked="0" layoutInCell="1" allowOverlap="1" wp14:anchorId="483809EE" wp14:editId="504B6A2F">
            <wp:simplePos x="0" y="0"/>
            <wp:positionH relativeFrom="margin">
              <wp:align>center</wp:align>
            </wp:positionH>
            <wp:positionV relativeFrom="margin">
              <wp:align>top</wp:align>
            </wp:positionV>
            <wp:extent cx="3088005" cy="1033145"/>
            <wp:effectExtent l="0" t="0" r="0" b="0"/>
            <wp:wrapSquare wrapText="bothSides"/>
            <wp:docPr id="743264044" name="Picture 7432640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8005" cy="1033145"/>
                    </a:xfrm>
                    <a:prstGeom prst="rect">
                      <a:avLst/>
                    </a:prstGeom>
                    <a:noFill/>
                  </pic:spPr>
                </pic:pic>
              </a:graphicData>
            </a:graphic>
            <wp14:sizeRelH relativeFrom="page">
              <wp14:pctWidth>0</wp14:pctWidth>
            </wp14:sizeRelH>
            <wp14:sizeRelV relativeFrom="page">
              <wp14:pctHeight>0</wp14:pctHeight>
            </wp14:sizeRelV>
          </wp:anchor>
        </w:drawing>
      </w:r>
    </w:p>
    <w:p w14:paraId="2E9F56B4" w14:textId="77777777" w:rsidR="00E82E6D" w:rsidRPr="00D605F5" w:rsidRDefault="00E82E6D" w:rsidP="00957988">
      <w:pPr>
        <w:pStyle w:val="Title"/>
        <w:jc w:val="center"/>
        <w:rPr>
          <w:rFonts w:ascii="Arial" w:hAnsi="Arial" w:cs="Arial"/>
          <w:b/>
          <w:bCs/>
          <w:sz w:val="24"/>
          <w:szCs w:val="24"/>
        </w:rPr>
      </w:pPr>
    </w:p>
    <w:p w14:paraId="499D346D" w14:textId="77777777" w:rsidR="00E82E6D" w:rsidRPr="00D605F5" w:rsidRDefault="00E82E6D" w:rsidP="00957988">
      <w:pPr>
        <w:pStyle w:val="Title"/>
        <w:jc w:val="center"/>
        <w:rPr>
          <w:rFonts w:ascii="Arial" w:hAnsi="Arial" w:cs="Arial"/>
          <w:b/>
          <w:bCs/>
          <w:sz w:val="24"/>
          <w:szCs w:val="24"/>
        </w:rPr>
      </w:pPr>
    </w:p>
    <w:p w14:paraId="131A94D0" w14:textId="28D817DA" w:rsidR="00E82E6D" w:rsidRPr="00D605F5" w:rsidRDefault="00E82E6D" w:rsidP="00E82E6D">
      <w:pPr>
        <w:ind w:left="709" w:hanging="709"/>
        <w:rPr>
          <w:rFonts w:ascii="Arial" w:eastAsia="Times New Roman" w:hAnsi="Arial" w:cs="Arial"/>
          <w:b/>
          <w:bCs/>
          <w:sz w:val="28"/>
          <w:szCs w:val="28"/>
          <w:lang w:eastAsia="en-GB"/>
        </w:rPr>
      </w:pPr>
    </w:p>
    <w:p w14:paraId="7DCBBADD" w14:textId="53E97CC0" w:rsidR="00E82E6D" w:rsidRPr="00D605F5" w:rsidRDefault="00E82E6D" w:rsidP="00E82E6D">
      <w:pPr>
        <w:rPr>
          <w:rFonts w:ascii="Arial" w:eastAsia="Times New Roman" w:hAnsi="Arial" w:cs="Arial"/>
          <w:b/>
          <w:bCs/>
          <w:sz w:val="28"/>
          <w:szCs w:val="28"/>
          <w:lang w:eastAsia="en-GB"/>
        </w:rPr>
      </w:pPr>
    </w:p>
    <w:p w14:paraId="0BCC9F2F" w14:textId="77777777" w:rsidR="00E82E6D" w:rsidRPr="00D605F5" w:rsidRDefault="00E82E6D" w:rsidP="00E82E6D">
      <w:pPr>
        <w:ind w:left="709" w:hanging="709"/>
        <w:rPr>
          <w:rFonts w:ascii="Arial" w:eastAsia="Times New Roman" w:hAnsi="Arial" w:cs="Arial"/>
          <w:b/>
          <w:bCs/>
          <w:sz w:val="28"/>
          <w:szCs w:val="28"/>
          <w:lang w:eastAsia="en-GB"/>
        </w:rPr>
      </w:pPr>
    </w:p>
    <w:p w14:paraId="44037AF5" w14:textId="77777777" w:rsidR="00E82E6D" w:rsidRPr="00D605F5" w:rsidRDefault="00E82E6D" w:rsidP="00E82E6D">
      <w:pPr>
        <w:ind w:left="709" w:hanging="709"/>
        <w:jc w:val="center"/>
        <w:rPr>
          <w:rFonts w:ascii="Arial" w:eastAsia="Times New Roman" w:hAnsi="Arial" w:cs="Arial"/>
          <w:b/>
          <w:bCs/>
          <w:sz w:val="56"/>
          <w:szCs w:val="56"/>
          <w:lang w:eastAsia="en-GB"/>
        </w:rPr>
      </w:pPr>
    </w:p>
    <w:p w14:paraId="5490DB46" w14:textId="77777777" w:rsidR="00E82E6D" w:rsidRPr="00D605F5" w:rsidRDefault="00E82E6D" w:rsidP="00E82E6D">
      <w:pPr>
        <w:ind w:left="709" w:hanging="709"/>
        <w:jc w:val="center"/>
        <w:rPr>
          <w:rFonts w:ascii="Arial" w:eastAsia="Times New Roman" w:hAnsi="Arial" w:cs="Arial"/>
          <w:b/>
          <w:bCs/>
          <w:sz w:val="40"/>
          <w:szCs w:val="40"/>
          <w:lang w:eastAsia="en-GB"/>
        </w:rPr>
      </w:pPr>
      <w:r w:rsidRPr="00D605F5">
        <w:rPr>
          <w:rFonts w:ascii="Arial" w:eastAsia="Times New Roman" w:hAnsi="Arial" w:cs="Arial"/>
          <w:b/>
          <w:bCs/>
          <w:sz w:val="40"/>
          <w:szCs w:val="40"/>
          <w:lang w:eastAsia="en-GB"/>
        </w:rPr>
        <w:t>East Sussex Safeguarding Adults Board</w:t>
      </w:r>
    </w:p>
    <w:p w14:paraId="5438F734" w14:textId="77777777" w:rsidR="00E82E6D" w:rsidRPr="00D605F5" w:rsidRDefault="00E82E6D" w:rsidP="00E82E6D">
      <w:pPr>
        <w:ind w:left="709" w:hanging="709"/>
        <w:jc w:val="center"/>
        <w:rPr>
          <w:rFonts w:ascii="Arial" w:eastAsia="Times New Roman" w:hAnsi="Arial" w:cs="Arial"/>
          <w:b/>
          <w:bCs/>
          <w:sz w:val="56"/>
          <w:szCs w:val="56"/>
          <w:lang w:eastAsia="en-GB"/>
        </w:rPr>
      </w:pPr>
    </w:p>
    <w:p w14:paraId="28705983" w14:textId="77777777" w:rsidR="00E82E6D" w:rsidRPr="00D605F5" w:rsidRDefault="00E82E6D" w:rsidP="00E82E6D">
      <w:pPr>
        <w:ind w:left="709" w:hanging="709"/>
        <w:jc w:val="center"/>
        <w:rPr>
          <w:rFonts w:ascii="Arial" w:eastAsia="Times New Roman" w:hAnsi="Arial" w:cs="Arial"/>
          <w:b/>
          <w:bCs/>
          <w:sz w:val="56"/>
          <w:szCs w:val="56"/>
          <w:lang w:eastAsia="en-GB"/>
        </w:rPr>
      </w:pPr>
    </w:p>
    <w:p w14:paraId="11569F7C" w14:textId="77777777" w:rsidR="00E82E6D" w:rsidRPr="00D605F5" w:rsidRDefault="00E82E6D" w:rsidP="00D605F5">
      <w:pPr>
        <w:rPr>
          <w:rFonts w:ascii="Arial" w:eastAsia="Times New Roman" w:hAnsi="Arial" w:cs="Arial"/>
          <w:b/>
          <w:bCs/>
          <w:sz w:val="56"/>
          <w:szCs w:val="56"/>
          <w:lang w:eastAsia="en-GB"/>
        </w:rPr>
      </w:pPr>
    </w:p>
    <w:p w14:paraId="43310BAC" w14:textId="77777777" w:rsidR="00E82E6D" w:rsidRPr="00D605F5" w:rsidRDefault="00E82E6D" w:rsidP="00E82E6D">
      <w:pPr>
        <w:ind w:left="709" w:hanging="709"/>
        <w:jc w:val="center"/>
        <w:rPr>
          <w:rFonts w:ascii="Arial" w:eastAsia="Times New Roman" w:hAnsi="Arial" w:cs="Arial"/>
          <w:b/>
          <w:bCs/>
          <w:sz w:val="56"/>
          <w:szCs w:val="56"/>
          <w:lang w:eastAsia="en-GB"/>
        </w:rPr>
      </w:pPr>
      <w:r w:rsidRPr="00D605F5">
        <w:rPr>
          <w:rFonts w:ascii="Arial" w:eastAsia="Times New Roman" w:hAnsi="Arial" w:cs="Arial"/>
          <w:b/>
          <w:bCs/>
          <w:sz w:val="56"/>
          <w:szCs w:val="56"/>
          <w:lang w:eastAsia="en-GB"/>
        </w:rPr>
        <w:t>SAFEGUARDING ADULT REVIEW</w:t>
      </w:r>
    </w:p>
    <w:p w14:paraId="4B99A518" w14:textId="77777777" w:rsidR="00E82E6D" w:rsidRPr="00D605F5" w:rsidRDefault="00E82E6D" w:rsidP="00E82E6D">
      <w:pPr>
        <w:ind w:left="709" w:hanging="709"/>
        <w:jc w:val="center"/>
        <w:rPr>
          <w:rFonts w:ascii="Arial" w:eastAsia="Times New Roman" w:hAnsi="Arial" w:cs="Arial"/>
          <w:b/>
          <w:bCs/>
          <w:sz w:val="56"/>
          <w:szCs w:val="56"/>
          <w:lang w:eastAsia="en-GB"/>
        </w:rPr>
      </w:pPr>
      <w:r w:rsidRPr="00D605F5">
        <w:rPr>
          <w:rFonts w:ascii="Arial" w:eastAsia="Times New Roman" w:hAnsi="Arial" w:cs="Arial"/>
          <w:b/>
          <w:bCs/>
          <w:sz w:val="56"/>
          <w:szCs w:val="56"/>
          <w:lang w:eastAsia="en-GB"/>
        </w:rPr>
        <w:t>Donna</w:t>
      </w:r>
    </w:p>
    <w:p w14:paraId="605F5ADD" w14:textId="77777777" w:rsidR="00E82E6D" w:rsidRPr="00D605F5" w:rsidRDefault="00E82E6D" w:rsidP="00E82E6D">
      <w:pPr>
        <w:ind w:left="709" w:hanging="709"/>
        <w:jc w:val="center"/>
        <w:rPr>
          <w:rFonts w:ascii="Arial" w:eastAsia="Times New Roman" w:hAnsi="Arial" w:cs="Arial"/>
          <w:b/>
          <w:bCs/>
          <w:sz w:val="56"/>
          <w:szCs w:val="56"/>
          <w:lang w:eastAsia="en-GB"/>
        </w:rPr>
      </w:pPr>
    </w:p>
    <w:p w14:paraId="452DC59F" w14:textId="77777777" w:rsidR="00E82E6D" w:rsidRPr="00D605F5" w:rsidRDefault="00E82E6D" w:rsidP="00E82E6D">
      <w:pPr>
        <w:ind w:left="709" w:hanging="709"/>
        <w:jc w:val="center"/>
        <w:rPr>
          <w:rFonts w:ascii="Arial" w:eastAsia="Times New Roman" w:hAnsi="Arial" w:cs="Arial"/>
          <w:b/>
          <w:bCs/>
          <w:sz w:val="56"/>
          <w:szCs w:val="56"/>
          <w:lang w:eastAsia="en-GB"/>
        </w:rPr>
      </w:pPr>
      <w:r w:rsidRPr="00D605F5">
        <w:rPr>
          <w:rFonts w:ascii="Arial" w:eastAsia="Times New Roman" w:hAnsi="Arial" w:cs="Arial"/>
          <w:b/>
          <w:bCs/>
          <w:sz w:val="56"/>
          <w:szCs w:val="56"/>
          <w:lang w:eastAsia="en-GB"/>
        </w:rPr>
        <w:t>Executive Summary</w:t>
      </w:r>
    </w:p>
    <w:p w14:paraId="08034FD7" w14:textId="77777777" w:rsidR="00E82E6D" w:rsidRPr="00D605F5" w:rsidRDefault="00E82E6D" w:rsidP="00E82E6D">
      <w:pPr>
        <w:ind w:left="709" w:hanging="709"/>
        <w:jc w:val="center"/>
        <w:rPr>
          <w:rFonts w:ascii="Arial" w:eastAsia="Times New Roman" w:hAnsi="Arial" w:cs="Arial"/>
          <w:b/>
          <w:bCs/>
          <w:sz w:val="28"/>
          <w:szCs w:val="28"/>
          <w:lang w:eastAsia="en-GB"/>
        </w:rPr>
      </w:pPr>
    </w:p>
    <w:p w14:paraId="021A8DE0" w14:textId="77777777" w:rsidR="00E82E6D" w:rsidRPr="00D605F5" w:rsidRDefault="00E82E6D" w:rsidP="00E82E6D">
      <w:pPr>
        <w:ind w:left="709" w:hanging="709"/>
        <w:jc w:val="center"/>
        <w:rPr>
          <w:rFonts w:ascii="Arial" w:eastAsia="Times New Roman" w:hAnsi="Arial" w:cs="Arial"/>
          <w:b/>
          <w:bCs/>
          <w:sz w:val="28"/>
          <w:szCs w:val="28"/>
          <w:lang w:eastAsia="en-GB"/>
        </w:rPr>
      </w:pPr>
    </w:p>
    <w:p w14:paraId="4FC188A4" w14:textId="77777777" w:rsidR="00E82E6D" w:rsidRPr="00D605F5" w:rsidRDefault="00E82E6D" w:rsidP="00E82E6D">
      <w:pPr>
        <w:ind w:left="709" w:hanging="709"/>
        <w:jc w:val="center"/>
        <w:rPr>
          <w:rFonts w:ascii="Arial" w:eastAsia="Times New Roman" w:hAnsi="Arial" w:cs="Arial"/>
          <w:bCs/>
          <w:sz w:val="48"/>
          <w:szCs w:val="48"/>
          <w:lang w:eastAsia="en-GB"/>
        </w:rPr>
      </w:pPr>
      <w:r w:rsidRPr="00D605F5">
        <w:rPr>
          <w:rFonts w:ascii="Arial" w:eastAsia="Times New Roman" w:hAnsi="Arial" w:cs="Arial"/>
          <w:bCs/>
          <w:sz w:val="48"/>
          <w:szCs w:val="48"/>
          <w:lang w:eastAsia="en-GB"/>
        </w:rPr>
        <w:t>October 2023</w:t>
      </w:r>
    </w:p>
    <w:p w14:paraId="4EA3D33F" w14:textId="77777777" w:rsidR="00E82E6D" w:rsidRPr="00D605F5" w:rsidRDefault="00E82E6D" w:rsidP="00E82E6D">
      <w:pPr>
        <w:ind w:left="709" w:hanging="709"/>
        <w:rPr>
          <w:rFonts w:ascii="Arial" w:eastAsia="Times New Roman" w:hAnsi="Arial" w:cs="Arial"/>
          <w:b/>
          <w:bCs/>
          <w:sz w:val="28"/>
          <w:szCs w:val="28"/>
          <w:lang w:eastAsia="en-GB"/>
        </w:rPr>
      </w:pPr>
    </w:p>
    <w:p w14:paraId="7DEBF64B" w14:textId="77777777" w:rsidR="00E82E6D" w:rsidRPr="00D605F5" w:rsidRDefault="00E82E6D" w:rsidP="00E82E6D">
      <w:pPr>
        <w:ind w:left="709" w:hanging="709"/>
        <w:rPr>
          <w:rFonts w:ascii="Arial" w:eastAsia="Times New Roman" w:hAnsi="Arial" w:cs="Arial"/>
          <w:b/>
          <w:bCs/>
          <w:sz w:val="28"/>
          <w:szCs w:val="28"/>
          <w:lang w:eastAsia="en-GB"/>
        </w:rPr>
      </w:pPr>
    </w:p>
    <w:p w14:paraId="6054965A" w14:textId="77777777" w:rsidR="00E82E6D" w:rsidRPr="00D605F5" w:rsidRDefault="00E82E6D" w:rsidP="00E82E6D">
      <w:pPr>
        <w:ind w:left="709" w:hanging="709"/>
        <w:rPr>
          <w:rFonts w:ascii="Arial" w:eastAsia="Times New Roman" w:hAnsi="Arial" w:cs="Arial"/>
          <w:b/>
          <w:bCs/>
          <w:sz w:val="28"/>
          <w:szCs w:val="28"/>
          <w:lang w:eastAsia="en-GB"/>
        </w:rPr>
      </w:pPr>
    </w:p>
    <w:p w14:paraId="2818E552" w14:textId="77777777" w:rsidR="00E82E6D" w:rsidRPr="00D605F5" w:rsidRDefault="00E82E6D" w:rsidP="00E82E6D">
      <w:pPr>
        <w:ind w:left="709" w:hanging="709"/>
        <w:rPr>
          <w:rFonts w:ascii="Arial" w:eastAsia="Times New Roman" w:hAnsi="Arial" w:cs="Arial"/>
          <w:b/>
          <w:bCs/>
          <w:sz w:val="28"/>
          <w:szCs w:val="28"/>
          <w:lang w:eastAsia="en-GB"/>
        </w:rPr>
      </w:pPr>
    </w:p>
    <w:p w14:paraId="5E224079" w14:textId="77777777" w:rsidR="00E82E6D" w:rsidRPr="00D605F5" w:rsidRDefault="00E82E6D" w:rsidP="00E82E6D">
      <w:pPr>
        <w:ind w:left="709" w:hanging="709"/>
        <w:rPr>
          <w:rFonts w:ascii="Arial" w:eastAsia="Times New Roman" w:hAnsi="Arial" w:cs="Arial"/>
          <w:b/>
          <w:bCs/>
          <w:sz w:val="28"/>
          <w:szCs w:val="28"/>
          <w:lang w:eastAsia="en-GB"/>
        </w:rPr>
      </w:pPr>
    </w:p>
    <w:p w14:paraId="631038F2" w14:textId="77777777" w:rsidR="00E82E6D" w:rsidRPr="00D605F5" w:rsidRDefault="00E82E6D" w:rsidP="00E82E6D">
      <w:pPr>
        <w:ind w:left="709" w:hanging="709"/>
        <w:rPr>
          <w:rFonts w:ascii="Arial" w:eastAsia="Times New Roman" w:hAnsi="Arial" w:cs="Arial"/>
          <w:b/>
          <w:bCs/>
          <w:sz w:val="28"/>
          <w:szCs w:val="28"/>
          <w:lang w:eastAsia="en-GB"/>
        </w:rPr>
      </w:pPr>
    </w:p>
    <w:p w14:paraId="006597B3" w14:textId="14F8E785" w:rsidR="00E82E6D" w:rsidRPr="00D605F5" w:rsidRDefault="00E82E6D" w:rsidP="00E82E6D">
      <w:pPr>
        <w:ind w:left="709" w:hanging="709"/>
        <w:rPr>
          <w:rFonts w:ascii="Arial" w:eastAsia="Times New Roman" w:hAnsi="Arial" w:cs="Arial"/>
          <w:b/>
          <w:bCs/>
          <w:sz w:val="28"/>
          <w:szCs w:val="28"/>
          <w:lang w:eastAsia="en-GB"/>
        </w:rPr>
      </w:pPr>
      <w:r w:rsidRPr="00D605F5">
        <w:rPr>
          <w:rFonts w:ascii="Arial" w:eastAsia="Times New Roman" w:hAnsi="Arial" w:cs="Arial"/>
          <w:b/>
          <w:bCs/>
          <w:sz w:val="28"/>
          <w:szCs w:val="28"/>
          <w:lang w:eastAsia="en-GB"/>
        </w:rPr>
        <w:t>SAR Report by Patrick Hopkinson</w:t>
      </w:r>
    </w:p>
    <w:p w14:paraId="54796433" w14:textId="77777777" w:rsidR="00E82E6D" w:rsidRDefault="00E82E6D" w:rsidP="00E82E6D">
      <w:pPr>
        <w:ind w:left="709" w:hanging="709"/>
        <w:rPr>
          <w:rFonts w:ascii="Arial" w:eastAsia="Times New Roman" w:hAnsi="Arial" w:cs="Arial"/>
          <w:b/>
          <w:bCs/>
          <w:sz w:val="28"/>
          <w:szCs w:val="28"/>
          <w:lang w:eastAsia="en-GB"/>
        </w:rPr>
      </w:pPr>
      <w:r w:rsidRPr="00D605F5">
        <w:rPr>
          <w:rFonts w:ascii="Arial" w:eastAsia="Times New Roman" w:hAnsi="Arial" w:cs="Arial"/>
          <w:b/>
          <w:bCs/>
          <w:sz w:val="28"/>
          <w:szCs w:val="28"/>
          <w:lang w:eastAsia="en-GB"/>
        </w:rPr>
        <w:t>December 2022</w:t>
      </w:r>
    </w:p>
    <w:p w14:paraId="2A5901C3" w14:textId="77777777" w:rsidR="00D605F5" w:rsidRDefault="00D605F5" w:rsidP="00E82E6D">
      <w:pPr>
        <w:ind w:left="709" w:hanging="709"/>
        <w:rPr>
          <w:rFonts w:ascii="Arial" w:eastAsia="Times New Roman" w:hAnsi="Arial" w:cs="Arial"/>
          <w:b/>
          <w:bCs/>
          <w:sz w:val="28"/>
          <w:szCs w:val="28"/>
          <w:lang w:eastAsia="en-GB"/>
        </w:rPr>
      </w:pPr>
    </w:p>
    <w:p w14:paraId="03737D15" w14:textId="6F75FA00" w:rsidR="00D605F5" w:rsidRPr="00D605F5" w:rsidRDefault="00D605F5" w:rsidP="00E82E6D">
      <w:pPr>
        <w:ind w:left="709" w:hanging="709"/>
        <w:rPr>
          <w:rFonts w:ascii="Arial" w:eastAsia="Times New Roman" w:hAnsi="Arial" w:cs="Arial"/>
          <w:b/>
          <w:bCs/>
          <w:sz w:val="28"/>
          <w:szCs w:val="28"/>
          <w:lang w:eastAsia="en-GB"/>
        </w:rPr>
      </w:pPr>
      <w:r>
        <w:rPr>
          <w:rFonts w:ascii="Arial" w:eastAsia="Times New Roman" w:hAnsi="Arial" w:cs="Arial"/>
          <w:b/>
          <w:bCs/>
          <w:sz w:val="28"/>
          <w:szCs w:val="28"/>
          <w:lang w:eastAsia="en-GB"/>
        </w:rPr>
        <w:t>Executive Summary Published December 2023</w:t>
      </w:r>
    </w:p>
    <w:p w14:paraId="5B09BF6C" w14:textId="1A5F16DF" w:rsidR="00E82E6D" w:rsidRPr="00D605F5" w:rsidRDefault="00E82E6D" w:rsidP="00E82E6D">
      <w:pPr>
        <w:rPr>
          <w:rFonts w:ascii="Arial" w:eastAsia="Times New Roman" w:hAnsi="Arial" w:cs="Arial"/>
          <w:b/>
          <w:sz w:val="28"/>
          <w:szCs w:val="28"/>
          <w:lang w:eastAsia="en-GB"/>
        </w:rPr>
      </w:pPr>
    </w:p>
    <w:p w14:paraId="75DD558F" w14:textId="77777777" w:rsidR="00E82E6D" w:rsidRPr="00D605F5" w:rsidRDefault="00E82E6D" w:rsidP="00957988">
      <w:pPr>
        <w:pStyle w:val="Title"/>
        <w:jc w:val="center"/>
        <w:rPr>
          <w:rFonts w:ascii="Arial" w:hAnsi="Arial" w:cs="Arial"/>
          <w:b/>
          <w:bCs/>
          <w:sz w:val="24"/>
          <w:szCs w:val="24"/>
        </w:rPr>
      </w:pPr>
    </w:p>
    <w:p w14:paraId="6C46ECD1" w14:textId="77777777" w:rsidR="00E82E6D" w:rsidRPr="00D605F5" w:rsidRDefault="00E82E6D" w:rsidP="00957988">
      <w:pPr>
        <w:pStyle w:val="Title"/>
        <w:jc w:val="center"/>
        <w:rPr>
          <w:rFonts w:ascii="Arial" w:hAnsi="Arial" w:cs="Arial"/>
          <w:b/>
          <w:bCs/>
          <w:sz w:val="24"/>
          <w:szCs w:val="24"/>
        </w:rPr>
      </w:pPr>
    </w:p>
    <w:p w14:paraId="015A044A" w14:textId="77777777" w:rsidR="00E82E6D" w:rsidRPr="00D605F5" w:rsidRDefault="00E82E6D" w:rsidP="00957988">
      <w:pPr>
        <w:pStyle w:val="Title"/>
        <w:jc w:val="center"/>
        <w:rPr>
          <w:rFonts w:ascii="Arial" w:hAnsi="Arial" w:cs="Arial"/>
          <w:b/>
          <w:bCs/>
          <w:sz w:val="24"/>
          <w:szCs w:val="24"/>
        </w:rPr>
      </w:pPr>
    </w:p>
    <w:p w14:paraId="3DBCC53C" w14:textId="77777777" w:rsidR="00E82E6D" w:rsidRPr="00D605F5" w:rsidRDefault="00E82E6D" w:rsidP="00E82E6D">
      <w:pPr>
        <w:pStyle w:val="Title"/>
        <w:rPr>
          <w:rFonts w:ascii="Arial" w:hAnsi="Arial" w:cs="Arial"/>
          <w:b/>
          <w:bCs/>
          <w:sz w:val="24"/>
          <w:szCs w:val="24"/>
        </w:rPr>
      </w:pPr>
    </w:p>
    <w:p w14:paraId="1C2EBE32" w14:textId="77777777" w:rsidR="00C00FC7" w:rsidRPr="00D605F5" w:rsidRDefault="00C00FC7" w:rsidP="00C00FC7">
      <w:pPr>
        <w:rPr>
          <w:rFonts w:ascii="Arial" w:hAnsi="Arial" w:cs="Arial"/>
        </w:rPr>
      </w:pPr>
    </w:p>
    <w:sdt>
      <w:sdtPr>
        <w:rPr>
          <w:rFonts w:ascii="Arial" w:eastAsiaTheme="minorHAnsi" w:hAnsi="Arial" w:cs="Arial"/>
          <w:color w:val="auto"/>
          <w:sz w:val="24"/>
          <w:szCs w:val="24"/>
          <w:lang w:val="en-GB"/>
        </w:rPr>
        <w:id w:val="889855080"/>
        <w:docPartObj>
          <w:docPartGallery w:val="Table of Contents"/>
          <w:docPartUnique/>
        </w:docPartObj>
      </w:sdtPr>
      <w:sdtEndPr>
        <w:rPr>
          <w:b/>
          <w:bCs/>
          <w:noProof/>
        </w:rPr>
      </w:sdtEndPr>
      <w:sdtContent>
        <w:p w14:paraId="5CFFCF6C" w14:textId="1BECA6CB" w:rsidR="004D15EE" w:rsidRPr="00D605F5" w:rsidRDefault="004D15EE" w:rsidP="00957988">
          <w:pPr>
            <w:pStyle w:val="TOCHeading"/>
            <w:jc w:val="both"/>
            <w:rPr>
              <w:rFonts w:ascii="Arial" w:hAnsi="Arial" w:cs="Arial"/>
              <w:b/>
              <w:bCs/>
              <w:color w:val="auto"/>
              <w:sz w:val="24"/>
              <w:szCs w:val="24"/>
            </w:rPr>
          </w:pPr>
          <w:r w:rsidRPr="00D605F5">
            <w:rPr>
              <w:rFonts w:ascii="Arial" w:hAnsi="Arial" w:cs="Arial"/>
              <w:b/>
              <w:bCs/>
              <w:color w:val="auto"/>
              <w:sz w:val="24"/>
              <w:szCs w:val="24"/>
            </w:rPr>
            <w:t>Contents</w:t>
          </w:r>
        </w:p>
        <w:p w14:paraId="60C78679" w14:textId="77777777" w:rsidR="004D15EE" w:rsidRPr="00D605F5" w:rsidRDefault="004D15EE" w:rsidP="00957988">
          <w:pPr>
            <w:jc w:val="both"/>
            <w:rPr>
              <w:rFonts w:ascii="Arial" w:hAnsi="Arial" w:cs="Arial"/>
              <w:lang w:val="en-US"/>
            </w:rPr>
          </w:pPr>
        </w:p>
        <w:p w14:paraId="63F2D073" w14:textId="475F8AB8" w:rsidR="004D15EE" w:rsidRPr="00D605F5" w:rsidRDefault="004D15EE" w:rsidP="00957988">
          <w:pPr>
            <w:pStyle w:val="TOC1"/>
            <w:tabs>
              <w:tab w:val="left" w:pos="440"/>
              <w:tab w:val="right" w:leader="dot" w:pos="9016"/>
            </w:tabs>
            <w:jc w:val="both"/>
            <w:rPr>
              <w:rFonts w:ascii="Arial" w:hAnsi="Arial" w:cs="Arial"/>
              <w:noProof/>
              <w:sz w:val="24"/>
              <w:szCs w:val="24"/>
              <w:lang w:val="en-GB" w:eastAsia="en-GB"/>
            </w:rPr>
          </w:pPr>
          <w:r w:rsidRPr="00D605F5">
            <w:rPr>
              <w:rFonts w:ascii="Arial" w:hAnsi="Arial" w:cs="Arial"/>
              <w:sz w:val="24"/>
              <w:szCs w:val="24"/>
            </w:rPr>
            <w:fldChar w:fldCharType="begin"/>
          </w:r>
          <w:r w:rsidRPr="00D605F5">
            <w:rPr>
              <w:rFonts w:ascii="Arial" w:hAnsi="Arial" w:cs="Arial"/>
              <w:sz w:val="24"/>
              <w:szCs w:val="24"/>
            </w:rPr>
            <w:instrText xml:space="preserve"> TOC \o "1-3" \h \z \u </w:instrText>
          </w:r>
          <w:r w:rsidRPr="00D605F5">
            <w:rPr>
              <w:rFonts w:ascii="Arial" w:hAnsi="Arial" w:cs="Arial"/>
              <w:sz w:val="24"/>
              <w:szCs w:val="24"/>
            </w:rPr>
            <w:fldChar w:fldCharType="separate"/>
          </w:r>
          <w:hyperlink w:anchor="_Toc147494555" w:history="1">
            <w:r w:rsidRPr="00D605F5">
              <w:rPr>
                <w:rStyle w:val="Hyperlink"/>
                <w:rFonts w:ascii="Arial" w:hAnsi="Arial" w:cs="Arial"/>
                <w:noProof/>
                <w:color w:val="auto"/>
                <w:sz w:val="24"/>
                <w:szCs w:val="24"/>
              </w:rPr>
              <w:t>1.</w:t>
            </w:r>
            <w:r w:rsidRPr="00D605F5">
              <w:rPr>
                <w:rFonts w:ascii="Arial" w:hAnsi="Arial" w:cs="Arial"/>
                <w:noProof/>
                <w:sz w:val="24"/>
                <w:szCs w:val="24"/>
                <w:lang w:val="en-GB" w:eastAsia="en-GB"/>
              </w:rPr>
              <w:tab/>
            </w:r>
            <w:r w:rsidRPr="00D605F5">
              <w:rPr>
                <w:rStyle w:val="Hyperlink"/>
                <w:rFonts w:ascii="Arial" w:hAnsi="Arial" w:cs="Arial"/>
                <w:noProof/>
                <w:color w:val="auto"/>
                <w:sz w:val="24"/>
                <w:szCs w:val="24"/>
              </w:rPr>
              <w:t>Donna’s Story</w:t>
            </w:r>
            <w:r w:rsidRPr="00D605F5">
              <w:rPr>
                <w:rFonts w:ascii="Arial" w:hAnsi="Arial" w:cs="Arial"/>
                <w:noProof/>
                <w:webHidden/>
                <w:sz w:val="24"/>
                <w:szCs w:val="24"/>
              </w:rPr>
              <w:tab/>
            </w:r>
            <w:r w:rsidRPr="00D605F5">
              <w:rPr>
                <w:rFonts w:ascii="Arial" w:hAnsi="Arial" w:cs="Arial"/>
                <w:noProof/>
                <w:webHidden/>
                <w:sz w:val="24"/>
                <w:szCs w:val="24"/>
              </w:rPr>
              <w:fldChar w:fldCharType="begin"/>
            </w:r>
            <w:r w:rsidRPr="00D605F5">
              <w:rPr>
                <w:rFonts w:ascii="Arial" w:hAnsi="Arial" w:cs="Arial"/>
                <w:noProof/>
                <w:webHidden/>
                <w:sz w:val="24"/>
                <w:szCs w:val="24"/>
              </w:rPr>
              <w:instrText xml:space="preserve"> PAGEREF _Toc147494555 \h </w:instrText>
            </w:r>
            <w:r w:rsidRPr="00D605F5">
              <w:rPr>
                <w:rFonts w:ascii="Arial" w:hAnsi="Arial" w:cs="Arial"/>
                <w:noProof/>
                <w:webHidden/>
                <w:sz w:val="24"/>
                <w:szCs w:val="24"/>
              </w:rPr>
            </w:r>
            <w:r w:rsidRPr="00D605F5">
              <w:rPr>
                <w:rFonts w:ascii="Arial" w:hAnsi="Arial" w:cs="Arial"/>
                <w:noProof/>
                <w:webHidden/>
                <w:sz w:val="24"/>
                <w:szCs w:val="24"/>
              </w:rPr>
              <w:fldChar w:fldCharType="separate"/>
            </w:r>
            <w:r w:rsidRPr="00D605F5">
              <w:rPr>
                <w:rFonts w:ascii="Arial" w:hAnsi="Arial" w:cs="Arial"/>
                <w:noProof/>
                <w:webHidden/>
                <w:sz w:val="24"/>
                <w:szCs w:val="24"/>
              </w:rPr>
              <w:t>1</w:t>
            </w:r>
            <w:r w:rsidRPr="00D605F5">
              <w:rPr>
                <w:rFonts w:ascii="Arial" w:hAnsi="Arial" w:cs="Arial"/>
                <w:noProof/>
                <w:webHidden/>
                <w:sz w:val="24"/>
                <w:szCs w:val="24"/>
              </w:rPr>
              <w:fldChar w:fldCharType="end"/>
            </w:r>
          </w:hyperlink>
        </w:p>
        <w:p w14:paraId="7533A52A" w14:textId="220B0D25" w:rsidR="004D15EE" w:rsidRPr="00D605F5" w:rsidRDefault="005D45D7" w:rsidP="00957988">
          <w:pPr>
            <w:pStyle w:val="TOC1"/>
            <w:tabs>
              <w:tab w:val="left" w:pos="440"/>
              <w:tab w:val="right" w:leader="dot" w:pos="9016"/>
            </w:tabs>
            <w:jc w:val="both"/>
            <w:rPr>
              <w:rFonts w:ascii="Arial" w:hAnsi="Arial" w:cs="Arial"/>
              <w:noProof/>
              <w:sz w:val="24"/>
              <w:szCs w:val="24"/>
              <w:lang w:val="en-GB" w:eastAsia="en-GB"/>
            </w:rPr>
          </w:pPr>
          <w:hyperlink w:anchor="_Toc147494556" w:history="1">
            <w:r w:rsidR="004D15EE" w:rsidRPr="00D605F5">
              <w:rPr>
                <w:rStyle w:val="Hyperlink"/>
                <w:rFonts w:ascii="Arial" w:hAnsi="Arial" w:cs="Arial"/>
                <w:noProof/>
                <w:color w:val="auto"/>
                <w:sz w:val="24"/>
                <w:szCs w:val="24"/>
              </w:rPr>
              <w:t>2.</w:t>
            </w:r>
            <w:r w:rsidR="004D15EE" w:rsidRPr="00D605F5">
              <w:rPr>
                <w:rFonts w:ascii="Arial" w:hAnsi="Arial" w:cs="Arial"/>
                <w:noProof/>
                <w:sz w:val="24"/>
                <w:szCs w:val="24"/>
                <w:lang w:val="en-GB" w:eastAsia="en-GB"/>
              </w:rPr>
              <w:tab/>
            </w:r>
            <w:r w:rsidR="004D15EE" w:rsidRPr="00D605F5">
              <w:rPr>
                <w:rStyle w:val="Hyperlink"/>
                <w:rFonts w:ascii="Arial" w:hAnsi="Arial" w:cs="Arial"/>
                <w:noProof/>
                <w:color w:val="auto"/>
                <w:sz w:val="24"/>
                <w:szCs w:val="24"/>
              </w:rPr>
              <w:t>Thematic review</w:t>
            </w:r>
            <w:r w:rsidR="004D15EE" w:rsidRPr="00D605F5">
              <w:rPr>
                <w:rFonts w:ascii="Arial" w:hAnsi="Arial" w:cs="Arial"/>
                <w:noProof/>
                <w:webHidden/>
                <w:sz w:val="24"/>
                <w:szCs w:val="24"/>
              </w:rPr>
              <w:tab/>
            </w:r>
            <w:r w:rsidR="004D15EE" w:rsidRPr="00D605F5">
              <w:rPr>
                <w:rFonts w:ascii="Arial" w:hAnsi="Arial" w:cs="Arial"/>
                <w:noProof/>
                <w:webHidden/>
                <w:sz w:val="24"/>
                <w:szCs w:val="24"/>
              </w:rPr>
              <w:fldChar w:fldCharType="begin"/>
            </w:r>
            <w:r w:rsidR="004D15EE" w:rsidRPr="00D605F5">
              <w:rPr>
                <w:rFonts w:ascii="Arial" w:hAnsi="Arial" w:cs="Arial"/>
                <w:noProof/>
                <w:webHidden/>
                <w:sz w:val="24"/>
                <w:szCs w:val="24"/>
              </w:rPr>
              <w:instrText xml:space="preserve"> PAGEREF _Toc147494556 \h </w:instrText>
            </w:r>
            <w:r w:rsidR="004D15EE" w:rsidRPr="00D605F5">
              <w:rPr>
                <w:rFonts w:ascii="Arial" w:hAnsi="Arial" w:cs="Arial"/>
                <w:noProof/>
                <w:webHidden/>
                <w:sz w:val="24"/>
                <w:szCs w:val="24"/>
              </w:rPr>
            </w:r>
            <w:r w:rsidR="004D15EE" w:rsidRPr="00D605F5">
              <w:rPr>
                <w:rFonts w:ascii="Arial" w:hAnsi="Arial" w:cs="Arial"/>
                <w:noProof/>
                <w:webHidden/>
                <w:sz w:val="24"/>
                <w:szCs w:val="24"/>
              </w:rPr>
              <w:fldChar w:fldCharType="separate"/>
            </w:r>
            <w:r w:rsidR="004D15EE" w:rsidRPr="00D605F5">
              <w:rPr>
                <w:rFonts w:ascii="Arial" w:hAnsi="Arial" w:cs="Arial"/>
                <w:noProof/>
                <w:webHidden/>
                <w:sz w:val="24"/>
                <w:szCs w:val="24"/>
              </w:rPr>
              <w:t>2</w:t>
            </w:r>
            <w:r w:rsidR="004D15EE" w:rsidRPr="00D605F5">
              <w:rPr>
                <w:rFonts w:ascii="Arial" w:hAnsi="Arial" w:cs="Arial"/>
                <w:noProof/>
                <w:webHidden/>
                <w:sz w:val="24"/>
                <w:szCs w:val="24"/>
              </w:rPr>
              <w:fldChar w:fldCharType="end"/>
            </w:r>
          </w:hyperlink>
        </w:p>
        <w:p w14:paraId="595430D8" w14:textId="2861B59F" w:rsidR="004D15EE" w:rsidRPr="00D605F5" w:rsidRDefault="005D45D7" w:rsidP="00957988">
          <w:pPr>
            <w:pStyle w:val="TOC1"/>
            <w:tabs>
              <w:tab w:val="left" w:pos="440"/>
              <w:tab w:val="right" w:leader="dot" w:pos="9016"/>
            </w:tabs>
            <w:jc w:val="both"/>
            <w:rPr>
              <w:rFonts w:ascii="Arial" w:hAnsi="Arial" w:cs="Arial"/>
              <w:noProof/>
              <w:sz w:val="24"/>
              <w:szCs w:val="24"/>
              <w:lang w:val="en-GB" w:eastAsia="en-GB"/>
            </w:rPr>
          </w:pPr>
          <w:hyperlink w:anchor="_Toc147494557" w:history="1">
            <w:r w:rsidR="004D15EE" w:rsidRPr="00D605F5">
              <w:rPr>
                <w:rStyle w:val="Hyperlink"/>
                <w:rFonts w:ascii="Arial" w:hAnsi="Arial" w:cs="Arial"/>
                <w:noProof/>
                <w:color w:val="auto"/>
                <w:sz w:val="24"/>
                <w:szCs w:val="24"/>
              </w:rPr>
              <w:t>3.</w:t>
            </w:r>
            <w:r w:rsidR="004D15EE" w:rsidRPr="00D605F5">
              <w:rPr>
                <w:rFonts w:ascii="Arial" w:hAnsi="Arial" w:cs="Arial"/>
                <w:noProof/>
                <w:sz w:val="24"/>
                <w:szCs w:val="24"/>
                <w:lang w:val="en-GB" w:eastAsia="en-GB"/>
              </w:rPr>
              <w:tab/>
            </w:r>
            <w:r w:rsidR="004D15EE" w:rsidRPr="00D605F5">
              <w:rPr>
                <w:rStyle w:val="Hyperlink"/>
                <w:rFonts w:ascii="Arial" w:hAnsi="Arial" w:cs="Arial"/>
                <w:noProof/>
                <w:color w:val="auto"/>
                <w:sz w:val="24"/>
                <w:szCs w:val="24"/>
              </w:rPr>
              <w:t>Emerging Issues and Learning</w:t>
            </w:r>
            <w:r w:rsidR="004D15EE" w:rsidRPr="00D605F5">
              <w:rPr>
                <w:rFonts w:ascii="Arial" w:hAnsi="Arial" w:cs="Arial"/>
                <w:noProof/>
                <w:webHidden/>
                <w:sz w:val="24"/>
                <w:szCs w:val="24"/>
              </w:rPr>
              <w:tab/>
            </w:r>
            <w:r w:rsidR="004D15EE" w:rsidRPr="00D605F5">
              <w:rPr>
                <w:rFonts w:ascii="Arial" w:hAnsi="Arial" w:cs="Arial"/>
                <w:noProof/>
                <w:webHidden/>
                <w:sz w:val="24"/>
                <w:szCs w:val="24"/>
              </w:rPr>
              <w:fldChar w:fldCharType="begin"/>
            </w:r>
            <w:r w:rsidR="004D15EE" w:rsidRPr="00D605F5">
              <w:rPr>
                <w:rFonts w:ascii="Arial" w:hAnsi="Arial" w:cs="Arial"/>
                <w:noProof/>
                <w:webHidden/>
                <w:sz w:val="24"/>
                <w:szCs w:val="24"/>
              </w:rPr>
              <w:instrText xml:space="preserve"> PAGEREF _Toc147494557 \h </w:instrText>
            </w:r>
            <w:r w:rsidR="004D15EE" w:rsidRPr="00D605F5">
              <w:rPr>
                <w:rFonts w:ascii="Arial" w:hAnsi="Arial" w:cs="Arial"/>
                <w:noProof/>
                <w:webHidden/>
                <w:sz w:val="24"/>
                <w:szCs w:val="24"/>
              </w:rPr>
            </w:r>
            <w:r w:rsidR="004D15EE" w:rsidRPr="00D605F5">
              <w:rPr>
                <w:rFonts w:ascii="Arial" w:hAnsi="Arial" w:cs="Arial"/>
                <w:noProof/>
                <w:webHidden/>
                <w:sz w:val="24"/>
                <w:szCs w:val="24"/>
              </w:rPr>
              <w:fldChar w:fldCharType="separate"/>
            </w:r>
            <w:r w:rsidR="004D15EE" w:rsidRPr="00D605F5">
              <w:rPr>
                <w:rFonts w:ascii="Arial" w:hAnsi="Arial" w:cs="Arial"/>
                <w:noProof/>
                <w:webHidden/>
                <w:sz w:val="24"/>
                <w:szCs w:val="24"/>
              </w:rPr>
              <w:t>5</w:t>
            </w:r>
            <w:r w:rsidR="004D15EE" w:rsidRPr="00D605F5">
              <w:rPr>
                <w:rFonts w:ascii="Arial" w:hAnsi="Arial" w:cs="Arial"/>
                <w:noProof/>
                <w:webHidden/>
                <w:sz w:val="24"/>
                <w:szCs w:val="24"/>
              </w:rPr>
              <w:fldChar w:fldCharType="end"/>
            </w:r>
          </w:hyperlink>
        </w:p>
        <w:p w14:paraId="4F030678" w14:textId="3C199390" w:rsidR="004D15EE" w:rsidRPr="00D605F5" w:rsidRDefault="005D45D7" w:rsidP="00957988">
          <w:pPr>
            <w:pStyle w:val="TOC1"/>
            <w:tabs>
              <w:tab w:val="left" w:pos="440"/>
              <w:tab w:val="right" w:leader="dot" w:pos="9016"/>
            </w:tabs>
            <w:jc w:val="both"/>
            <w:rPr>
              <w:rFonts w:ascii="Arial" w:hAnsi="Arial" w:cs="Arial"/>
              <w:noProof/>
              <w:sz w:val="24"/>
              <w:szCs w:val="24"/>
              <w:lang w:val="en-GB" w:eastAsia="en-GB"/>
            </w:rPr>
          </w:pPr>
          <w:hyperlink w:anchor="_Toc147494559" w:history="1">
            <w:r w:rsidR="004D15EE" w:rsidRPr="00D605F5">
              <w:rPr>
                <w:rStyle w:val="Hyperlink"/>
                <w:rFonts w:ascii="Arial" w:hAnsi="Arial" w:cs="Arial"/>
                <w:noProof/>
                <w:color w:val="auto"/>
                <w:sz w:val="24"/>
                <w:szCs w:val="24"/>
              </w:rPr>
              <w:t>4.</w:t>
            </w:r>
            <w:r w:rsidR="004D15EE" w:rsidRPr="00D605F5">
              <w:rPr>
                <w:rFonts w:ascii="Arial" w:hAnsi="Arial" w:cs="Arial"/>
                <w:noProof/>
                <w:sz w:val="24"/>
                <w:szCs w:val="24"/>
                <w:lang w:val="en-GB" w:eastAsia="en-GB"/>
              </w:rPr>
              <w:tab/>
            </w:r>
            <w:r w:rsidR="004D15EE" w:rsidRPr="00D605F5">
              <w:rPr>
                <w:rStyle w:val="Hyperlink"/>
                <w:rFonts w:ascii="Arial" w:hAnsi="Arial" w:cs="Arial"/>
                <w:noProof/>
                <w:color w:val="auto"/>
                <w:sz w:val="24"/>
                <w:szCs w:val="24"/>
              </w:rPr>
              <w:t>Conclusions</w:t>
            </w:r>
            <w:r w:rsidR="004D15EE" w:rsidRPr="00D605F5">
              <w:rPr>
                <w:rFonts w:ascii="Arial" w:hAnsi="Arial" w:cs="Arial"/>
                <w:noProof/>
                <w:webHidden/>
                <w:sz w:val="24"/>
                <w:szCs w:val="24"/>
              </w:rPr>
              <w:tab/>
            </w:r>
            <w:r w:rsidR="004D15EE" w:rsidRPr="00D605F5">
              <w:rPr>
                <w:rFonts w:ascii="Arial" w:hAnsi="Arial" w:cs="Arial"/>
                <w:noProof/>
                <w:webHidden/>
                <w:sz w:val="24"/>
                <w:szCs w:val="24"/>
              </w:rPr>
              <w:fldChar w:fldCharType="begin"/>
            </w:r>
            <w:r w:rsidR="004D15EE" w:rsidRPr="00D605F5">
              <w:rPr>
                <w:rFonts w:ascii="Arial" w:hAnsi="Arial" w:cs="Arial"/>
                <w:noProof/>
                <w:webHidden/>
                <w:sz w:val="24"/>
                <w:szCs w:val="24"/>
              </w:rPr>
              <w:instrText xml:space="preserve"> PAGEREF _Toc147494559 \h </w:instrText>
            </w:r>
            <w:r w:rsidR="004D15EE" w:rsidRPr="00D605F5">
              <w:rPr>
                <w:rFonts w:ascii="Arial" w:hAnsi="Arial" w:cs="Arial"/>
                <w:noProof/>
                <w:webHidden/>
                <w:sz w:val="24"/>
                <w:szCs w:val="24"/>
              </w:rPr>
            </w:r>
            <w:r w:rsidR="004D15EE" w:rsidRPr="00D605F5">
              <w:rPr>
                <w:rFonts w:ascii="Arial" w:hAnsi="Arial" w:cs="Arial"/>
                <w:noProof/>
                <w:webHidden/>
                <w:sz w:val="24"/>
                <w:szCs w:val="24"/>
              </w:rPr>
              <w:fldChar w:fldCharType="separate"/>
            </w:r>
            <w:r w:rsidR="004D15EE" w:rsidRPr="00D605F5">
              <w:rPr>
                <w:rFonts w:ascii="Arial" w:hAnsi="Arial" w:cs="Arial"/>
                <w:noProof/>
                <w:webHidden/>
                <w:sz w:val="24"/>
                <w:szCs w:val="24"/>
              </w:rPr>
              <w:t>8</w:t>
            </w:r>
            <w:r w:rsidR="004D15EE" w:rsidRPr="00D605F5">
              <w:rPr>
                <w:rFonts w:ascii="Arial" w:hAnsi="Arial" w:cs="Arial"/>
                <w:noProof/>
                <w:webHidden/>
                <w:sz w:val="24"/>
                <w:szCs w:val="24"/>
              </w:rPr>
              <w:fldChar w:fldCharType="end"/>
            </w:r>
          </w:hyperlink>
        </w:p>
        <w:p w14:paraId="48CABED7" w14:textId="75950C41" w:rsidR="004D15EE" w:rsidRPr="00D605F5" w:rsidRDefault="005D45D7" w:rsidP="00957988">
          <w:pPr>
            <w:pStyle w:val="TOC1"/>
            <w:tabs>
              <w:tab w:val="left" w:pos="440"/>
              <w:tab w:val="right" w:leader="dot" w:pos="9016"/>
            </w:tabs>
            <w:jc w:val="both"/>
            <w:rPr>
              <w:rFonts w:ascii="Arial" w:hAnsi="Arial" w:cs="Arial"/>
              <w:noProof/>
              <w:sz w:val="24"/>
              <w:szCs w:val="24"/>
              <w:lang w:val="en-GB" w:eastAsia="en-GB"/>
            </w:rPr>
          </w:pPr>
          <w:hyperlink w:anchor="_Toc147494561" w:history="1">
            <w:r w:rsidR="004D15EE" w:rsidRPr="00D605F5">
              <w:rPr>
                <w:rStyle w:val="Hyperlink"/>
                <w:rFonts w:ascii="Arial" w:hAnsi="Arial" w:cs="Arial"/>
                <w:noProof/>
                <w:color w:val="auto"/>
                <w:sz w:val="24"/>
                <w:szCs w:val="24"/>
              </w:rPr>
              <w:t>5.</w:t>
            </w:r>
            <w:r w:rsidR="004D15EE" w:rsidRPr="00D605F5">
              <w:rPr>
                <w:rFonts w:ascii="Arial" w:hAnsi="Arial" w:cs="Arial"/>
                <w:noProof/>
                <w:sz w:val="24"/>
                <w:szCs w:val="24"/>
                <w:lang w:val="en-GB" w:eastAsia="en-GB"/>
              </w:rPr>
              <w:tab/>
            </w:r>
            <w:r w:rsidR="004D15EE" w:rsidRPr="00D605F5">
              <w:rPr>
                <w:rStyle w:val="Hyperlink"/>
                <w:rFonts w:ascii="Arial" w:hAnsi="Arial" w:cs="Arial"/>
                <w:noProof/>
                <w:color w:val="auto"/>
                <w:sz w:val="24"/>
                <w:szCs w:val="24"/>
              </w:rPr>
              <w:t>Recommendations</w:t>
            </w:r>
            <w:r w:rsidR="004D15EE" w:rsidRPr="00D605F5">
              <w:rPr>
                <w:rFonts w:ascii="Arial" w:hAnsi="Arial" w:cs="Arial"/>
                <w:noProof/>
                <w:webHidden/>
                <w:sz w:val="24"/>
                <w:szCs w:val="24"/>
              </w:rPr>
              <w:tab/>
            </w:r>
            <w:r w:rsidR="004D15EE" w:rsidRPr="00D605F5">
              <w:rPr>
                <w:rFonts w:ascii="Arial" w:hAnsi="Arial" w:cs="Arial"/>
                <w:noProof/>
                <w:webHidden/>
                <w:sz w:val="24"/>
                <w:szCs w:val="24"/>
              </w:rPr>
              <w:fldChar w:fldCharType="begin"/>
            </w:r>
            <w:r w:rsidR="004D15EE" w:rsidRPr="00D605F5">
              <w:rPr>
                <w:rFonts w:ascii="Arial" w:hAnsi="Arial" w:cs="Arial"/>
                <w:noProof/>
                <w:webHidden/>
                <w:sz w:val="24"/>
                <w:szCs w:val="24"/>
              </w:rPr>
              <w:instrText xml:space="preserve"> PAGEREF _Toc147494561 \h </w:instrText>
            </w:r>
            <w:r w:rsidR="004D15EE" w:rsidRPr="00D605F5">
              <w:rPr>
                <w:rFonts w:ascii="Arial" w:hAnsi="Arial" w:cs="Arial"/>
                <w:noProof/>
                <w:webHidden/>
                <w:sz w:val="24"/>
                <w:szCs w:val="24"/>
              </w:rPr>
            </w:r>
            <w:r w:rsidR="004D15EE" w:rsidRPr="00D605F5">
              <w:rPr>
                <w:rFonts w:ascii="Arial" w:hAnsi="Arial" w:cs="Arial"/>
                <w:noProof/>
                <w:webHidden/>
                <w:sz w:val="24"/>
                <w:szCs w:val="24"/>
              </w:rPr>
              <w:fldChar w:fldCharType="separate"/>
            </w:r>
            <w:r w:rsidR="004D15EE" w:rsidRPr="00D605F5">
              <w:rPr>
                <w:rFonts w:ascii="Arial" w:hAnsi="Arial" w:cs="Arial"/>
                <w:noProof/>
                <w:webHidden/>
                <w:sz w:val="24"/>
                <w:szCs w:val="24"/>
              </w:rPr>
              <w:t>8</w:t>
            </w:r>
            <w:r w:rsidR="004D15EE" w:rsidRPr="00D605F5">
              <w:rPr>
                <w:rFonts w:ascii="Arial" w:hAnsi="Arial" w:cs="Arial"/>
                <w:noProof/>
                <w:webHidden/>
                <w:sz w:val="24"/>
                <w:szCs w:val="24"/>
              </w:rPr>
              <w:fldChar w:fldCharType="end"/>
            </w:r>
          </w:hyperlink>
        </w:p>
        <w:p w14:paraId="5CC5491C" w14:textId="241B5725" w:rsidR="004D15EE" w:rsidRPr="00D605F5" w:rsidRDefault="004D15EE" w:rsidP="00957988">
          <w:pPr>
            <w:jc w:val="both"/>
            <w:rPr>
              <w:rFonts w:ascii="Arial" w:hAnsi="Arial" w:cs="Arial"/>
            </w:rPr>
          </w:pPr>
          <w:r w:rsidRPr="00D605F5">
            <w:rPr>
              <w:rFonts w:ascii="Arial" w:hAnsi="Arial" w:cs="Arial"/>
              <w:b/>
              <w:bCs/>
              <w:noProof/>
            </w:rPr>
            <w:fldChar w:fldCharType="end"/>
          </w:r>
        </w:p>
      </w:sdtContent>
    </w:sdt>
    <w:p w14:paraId="0FC6BB2A" w14:textId="61D900C7" w:rsidR="008C17F0" w:rsidRPr="00D605F5" w:rsidRDefault="008C17F0" w:rsidP="00957988">
      <w:pPr>
        <w:pStyle w:val="TOCHeading"/>
        <w:jc w:val="both"/>
        <w:rPr>
          <w:rFonts w:ascii="Arial" w:hAnsi="Arial" w:cs="Arial"/>
        </w:rPr>
      </w:pPr>
    </w:p>
    <w:p w14:paraId="6323F139" w14:textId="77777777" w:rsidR="00F42B5C" w:rsidRPr="00D605F5" w:rsidRDefault="00F42B5C" w:rsidP="00957988">
      <w:pPr>
        <w:pStyle w:val="Subtitle"/>
        <w:jc w:val="both"/>
        <w:rPr>
          <w:rFonts w:ascii="Arial" w:hAnsi="Arial" w:cs="Arial"/>
          <w:b/>
          <w:bCs/>
          <w:sz w:val="24"/>
          <w:szCs w:val="24"/>
        </w:rPr>
      </w:pPr>
    </w:p>
    <w:p w14:paraId="4E153755" w14:textId="77777777" w:rsidR="00F42B5C" w:rsidRPr="00D605F5" w:rsidRDefault="00F42B5C" w:rsidP="00957988">
      <w:pPr>
        <w:pStyle w:val="Subtitle"/>
        <w:jc w:val="both"/>
        <w:rPr>
          <w:rFonts w:ascii="Arial" w:hAnsi="Arial" w:cs="Arial"/>
          <w:b/>
          <w:bCs/>
          <w:sz w:val="24"/>
          <w:szCs w:val="24"/>
        </w:rPr>
      </w:pPr>
    </w:p>
    <w:p w14:paraId="41EC86A7" w14:textId="77777777" w:rsidR="00F42B5C" w:rsidRPr="00D605F5" w:rsidRDefault="00F42B5C" w:rsidP="00957988">
      <w:pPr>
        <w:pStyle w:val="Subtitle"/>
        <w:jc w:val="both"/>
        <w:rPr>
          <w:rFonts w:ascii="Arial" w:hAnsi="Arial" w:cs="Arial"/>
          <w:b/>
          <w:bCs/>
          <w:sz w:val="24"/>
          <w:szCs w:val="24"/>
        </w:rPr>
      </w:pPr>
    </w:p>
    <w:p w14:paraId="72922539" w14:textId="77777777" w:rsidR="00F42B5C" w:rsidRPr="00D605F5" w:rsidRDefault="00F42B5C" w:rsidP="00957988">
      <w:pPr>
        <w:pStyle w:val="Subtitle"/>
        <w:jc w:val="both"/>
        <w:rPr>
          <w:rFonts w:ascii="Arial" w:hAnsi="Arial" w:cs="Arial"/>
          <w:b/>
          <w:bCs/>
          <w:sz w:val="24"/>
          <w:szCs w:val="24"/>
        </w:rPr>
      </w:pPr>
    </w:p>
    <w:p w14:paraId="191BF091" w14:textId="77777777" w:rsidR="00F42B5C" w:rsidRPr="00D605F5" w:rsidRDefault="00F42B5C" w:rsidP="00957988">
      <w:pPr>
        <w:pStyle w:val="Subtitle"/>
        <w:jc w:val="both"/>
        <w:rPr>
          <w:rFonts w:ascii="Arial" w:hAnsi="Arial" w:cs="Arial"/>
          <w:b/>
          <w:bCs/>
          <w:sz w:val="24"/>
          <w:szCs w:val="24"/>
        </w:rPr>
      </w:pPr>
    </w:p>
    <w:p w14:paraId="7CB9F0CC" w14:textId="77777777" w:rsidR="00F42B5C" w:rsidRPr="00D605F5" w:rsidRDefault="00F42B5C" w:rsidP="00957988">
      <w:pPr>
        <w:pStyle w:val="Subtitle"/>
        <w:jc w:val="both"/>
        <w:rPr>
          <w:rFonts w:ascii="Arial" w:hAnsi="Arial" w:cs="Arial"/>
          <w:b/>
          <w:bCs/>
          <w:sz w:val="24"/>
          <w:szCs w:val="24"/>
        </w:rPr>
      </w:pPr>
    </w:p>
    <w:p w14:paraId="36F6FB1A" w14:textId="77777777" w:rsidR="00F42B5C" w:rsidRPr="00D605F5" w:rsidRDefault="00F42B5C" w:rsidP="00957988">
      <w:pPr>
        <w:pStyle w:val="Subtitle"/>
        <w:jc w:val="both"/>
        <w:rPr>
          <w:rFonts w:ascii="Arial" w:hAnsi="Arial" w:cs="Arial"/>
          <w:b/>
          <w:bCs/>
          <w:sz w:val="24"/>
          <w:szCs w:val="24"/>
        </w:rPr>
      </w:pPr>
    </w:p>
    <w:p w14:paraId="2F82268C" w14:textId="77777777" w:rsidR="00F42B5C" w:rsidRPr="00D605F5" w:rsidRDefault="00F42B5C" w:rsidP="00957988">
      <w:pPr>
        <w:pStyle w:val="Subtitle"/>
        <w:jc w:val="both"/>
        <w:rPr>
          <w:rFonts w:ascii="Arial" w:hAnsi="Arial" w:cs="Arial"/>
          <w:b/>
          <w:bCs/>
          <w:sz w:val="24"/>
          <w:szCs w:val="24"/>
        </w:rPr>
      </w:pPr>
    </w:p>
    <w:p w14:paraId="38A62485" w14:textId="77777777" w:rsidR="00F42B5C" w:rsidRPr="00D605F5" w:rsidRDefault="00F42B5C" w:rsidP="00957988">
      <w:pPr>
        <w:pStyle w:val="Subtitle"/>
        <w:jc w:val="both"/>
        <w:rPr>
          <w:rFonts w:ascii="Arial" w:hAnsi="Arial" w:cs="Arial"/>
          <w:b/>
          <w:bCs/>
          <w:sz w:val="24"/>
          <w:szCs w:val="24"/>
        </w:rPr>
      </w:pPr>
    </w:p>
    <w:p w14:paraId="51AC27F9" w14:textId="77777777" w:rsidR="00F42B5C" w:rsidRPr="00D605F5" w:rsidRDefault="00F42B5C" w:rsidP="00957988">
      <w:pPr>
        <w:pStyle w:val="Subtitle"/>
        <w:jc w:val="both"/>
        <w:rPr>
          <w:rFonts w:ascii="Arial" w:hAnsi="Arial" w:cs="Arial"/>
          <w:b/>
          <w:bCs/>
          <w:sz w:val="24"/>
          <w:szCs w:val="24"/>
        </w:rPr>
      </w:pPr>
    </w:p>
    <w:p w14:paraId="3F2745EE" w14:textId="77777777" w:rsidR="00F42B5C" w:rsidRPr="00D605F5" w:rsidRDefault="00F42B5C" w:rsidP="00957988">
      <w:pPr>
        <w:pStyle w:val="Subtitle"/>
        <w:jc w:val="both"/>
        <w:rPr>
          <w:rFonts w:ascii="Arial" w:hAnsi="Arial" w:cs="Arial"/>
          <w:b/>
          <w:bCs/>
          <w:sz w:val="24"/>
          <w:szCs w:val="24"/>
        </w:rPr>
      </w:pPr>
    </w:p>
    <w:p w14:paraId="3E025D8D" w14:textId="77777777" w:rsidR="00F42B5C" w:rsidRPr="00D605F5" w:rsidRDefault="00F42B5C" w:rsidP="00957988">
      <w:pPr>
        <w:pStyle w:val="Subtitle"/>
        <w:jc w:val="both"/>
        <w:rPr>
          <w:rFonts w:ascii="Arial" w:hAnsi="Arial" w:cs="Arial"/>
          <w:b/>
          <w:bCs/>
          <w:sz w:val="24"/>
          <w:szCs w:val="24"/>
        </w:rPr>
      </w:pPr>
    </w:p>
    <w:p w14:paraId="51AF1CAF" w14:textId="77777777" w:rsidR="00F42B5C" w:rsidRPr="00D605F5" w:rsidRDefault="00F42B5C" w:rsidP="00957988">
      <w:pPr>
        <w:pStyle w:val="Subtitle"/>
        <w:jc w:val="both"/>
        <w:rPr>
          <w:rFonts w:ascii="Arial" w:hAnsi="Arial" w:cs="Arial"/>
          <w:b/>
          <w:bCs/>
          <w:sz w:val="24"/>
          <w:szCs w:val="24"/>
        </w:rPr>
      </w:pPr>
    </w:p>
    <w:p w14:paraId="14E1C4D1" w14:textId="77777777" w:rsidR="00F42B5C" w:rsidRDefault="00F42B5C" w:rsidP="00957988">
      <w:pPr>
        <w:pStyle w:val="Subtitle"/>
        <w:jc w:val="both"/>
        <w:rPr>
          <w:rFonts w:ascii="Arial" w:hAnsi="Arial" w:cs="Arial"/>
          <w:b/>
          <w:bCs/>
          <w:sz w:val="24"/>
          <w:szCs w:val="24"/>
        </w:rPr>
      </w:pPr>
    </w:p>
    <w:p w14:paraId="7B57FC3B" w14:textId="77777777" w:rsidR="00D605F5" w:rsidRDefault="00D605F5" w:rsidP="00D605F5"/>
    <w:p w14:paraId="7EA3F29D" w14:textId="77777777" w:rsidR="00D605F5" w:rsidRDefault="00D605F5" w:rsidP="00D605F5"/>
    <w:p w14:paraId="6A51FCB2" w14:textId="77777777" w:rsidR="00D605F5" w:rsidRDefault="00D605F5" w:rsidP="00D605F5"/>
    <w:p w14:paraId="61A16D49" w14:textId="77777777" w:rsidR="00D605F5" w:rsidRDefault="00D605F5" w:rsidP="00D605F5"/>
    <w:p w14:paraId="23B0498F" w14:textId="77777777" w:rsidR="00D605F5" w:rsidRDefault="00D605F5" w:rsidP="00D605F5"/>
    <w:p w14:paraId="2EE1B9C8" w14:textId="77777777" w:rsidR="00D605F5" w:rsidRPr="00D605F5" w:rsidRDefault="00D605F5" w:rsidP="00D605F5"/>
    <w:p w14:paraId="5607C576" w14:textId="77777777" w:rsidR="00F42B5C" w:rsidRPr="00D605F5" w:rsidRDefault="00F42B5C" w:rsidP="00957988">
      <w:pPr>
        <w:pStyle w:val="Subtitle"/>
        <w:jc w:val="both"/>
        <w:rPr>
          <w:rFonts w:ascii="Arial" w:hAnsi="Arial" w:cs="Arial"/>
          <w:b/>
          <w:bCs/>
          <w:sz w:val="24"/>
          <w:szCs w:val="24"/>
        </w:rPr>
      </w:pPr>
    </w:p>
    <w:p w14:paraId="44699EDA" w14:textId="77777777" w:rsidR="00F42B5C" w:rsidRPr="00D605F5" w:rsidRDefault="00F42B5C" w:rsidP="00957988">
      <w:pPr>
        <w:pStyle w:val="Subtitle"/>
        <w:jc w:val="both"/>
        <w:rPr>
          <w:rFonts w:ascii="Arial" w:hAnsi="Arial" w:cs="Arial"/>
          <w:b/>
          <w:bCs/>
          <w:sz w:val="24"/>
          <w:szCs w:val="24"/>
        </w:rPr>
      </w:pPr>
    </w:p>
    <w:p w14:paraId="4F95192F" w14:textId="77777777" w:rsidR="00F42B5C" w:rsidRPr="00D605F5" w:rsidRDefault="00F42B5C" w:rsidP="00957988">
      <w:pPr>
        <w:pStyle w:val="Subtitle"/>
        <w:jc w:val="both"/>
        <w:rPr>
          <w:rFonts w:ascii="Arial" w:hAnsi="Arial" w:cs="Arial"/>
          <w:b/>
          <w:bCs/>
          <w:sz w:val="24"/>
          <w:szCs w:val="24"/>
        </w:rPr>
      </w:pPr>
    </w:p>
    <w:p w14:paraId="1D8AA361" w14:textId="77777777" w:rsidR="00F42B5C" w:rsidRPr="00D605F5" w:rsidRDefault="00F42B5C" w:rsidP="00957988">
      <w:pPr>
        <w:pStyle w:val="Subtitle"/>
        <w:jc w:val="both"/>
        <w:rPr>
          <w:rFonts w:ascii="Arial" w:hAnsi="Arial" w:cs="Arial"/>
          <w:b/>
          <w:bCs/>
          <w:sz w:val="24"/>
          <w:szCs w:val="24"/>
        </w:rPr>
      </w:pPr>
    </w:p>
    <w:p w14:paraId="1EC11716" w14:textId="1FEA6CE9" w:rsidR="00B32AEE" w:rsidRPr="00D605F5" w:rsidRDefault="00B32AEE" w:rsidP="00E82E6D">
      <w:pPr>
        <w:pStyle w:val="Subtitle"/>
        <w:rPr>
          <w:rFonts w:ascii="Arial" w:hAnsi="Arial" w:cs="Arial"/>
          <w:b/>
          <w:bCs/>
          <w:sz w:val="24"/>
          <w:szCs w:val="24"/>
        </w:rPr>
      </w:pPr>
    </w:p>
    <w:p w14:paraId="05234CCD" w14:textId="77777777" w:rsidR="00FF0857" w:rsidRPr="00D605F5" w:rsidRDefault="00FF0857" w:rsidP="00957988">
      <w:pPr>
        <w:spacing w:line="276" w:lineRule="auto"/>
        <w:jc w:val="both"/>
        <w:rPr>
          <w:rFonts w:ascii="Arial" w:hAnsi="Arial" w:cs="Arial"/>
          <w:color w:val="000000" w:themeColor="text1"/>
        </w:rPr>
      </w:pPr>
    </w:p>
    <w:p w14:paraId="6FFEC739" w14:textId="77777777" w:rsidR="00F13836" w:rsidRPr="00D605F5" w:rsidRDefault="00F13836" w:rsidP="00957988">
      <w:pPr>
        <w:spacing w:line="276" w:lineRule="auto"/>
        <w:jc w:val="both"/>
        <w:rPr>
          <w:rFonts w:ascii="Arial" w:hAnsi="Arial" w:cs="Arial"/>
          <w:color w:val="000000" w:themeColor="text1"/>
        </w:rPr>
      </w:pPr>
    </w:p>
    <w:p w14:paraId="5E4DC5C0" w14:textId="0888FB9A" w:rsidR="00F13836" w:rsidRPr="00D605F5" w:rsidRDefault="00EB6A22" w:rsidP="000032D4">
      <w:pPr>
        <w:pStyle w:val="Heading1"/>
        <w:numPr>
          <w:ilvl w:val="0"/>
          <w:numId w:val="10"/>
        </w:numPr>
        <w:jc w:val="both"/>
        <w:rPr>
          <w:rFonts w:ascii="Arial" w:hAnsi="Arial" w:cs="Arial"/>
          <w:sz w:val="24"/>
          <w:szCs w:val="24"/>
          <w:u w:val="single"/>
        </w:rPr>
      </w:pPr>
      <w:bookmarkStart w:id="0" w:name="_Toc147494555"/>
      <w:r w:rsidRPr="00D605F5">
        <w:rPr>
          <w:rFonts w:ascii="Arial" w:hAnsi="Arial" w:cs="Arial"/>
          <w:sz w:val="24"/>
          <w:szCs w:val="24"/>
          <w:u w:val="single"/>
        </w:rPr>
        <w:t>Donna’s</w:t>
      </w:r>
      <w:r w:rsidR="004D0B73" w:rsidRPr="00D605F5">
        <w:rPr>
          <w:rFonts w:ascii="Arial" w:hAnsi="Arial" w:cs="Arial"/>
          <w:sz w:val="24"/>
          <w:szCs w:val="24"/>
          <w:u w:val="single"/>
        </w:rPr>
        <w:t xml:space="preserve"> </w:t>
      </w:r>
      <w:r w:rsidR="00950850" w:rsidRPr="00D605F5">
        <w:rPr>
          <w:rFonts w:ascii="Arial" w:hAnsi="Arial" w:cs="Arial"/>
          <w:sz w:val="24"/>
          <w:szCs w:val="24"/>
          <w:u w:val="single"/>
        </w:rPr>
        <w:t>S</w:t>
      </w:r>
      <w:r w:rsidR="004D0B73" w:rsidRPr="00D605F5">
        <w:rPr>
          <w:rFonts w:ascii="Arial" w:hAnsi="Arial" w:cs="Arial"/>
          <w:sz w:val="24"/>
          <w:szCs w:val="24"/>
          <w:u w:val="single"/>
        </w:rPr>
        <w:t>tory</w:t>
      </w:r>
      <w:bookmarkEnd w:id="0"/>
    </w:p>
    <w:p w14:paraId="18647862" w14:textId="0C70EE77" w:rsidR="00EB6A22" w:rsidRPr="00D605F5" w:rsidRDefault="00EB6A22" w:rsidP="00957988">
      <w:pPr>
        <w:jc w:val="both"/>
        <w:rPr>
          <w:rFonts w:ascii="Arial" w:hAnsi="Arial" w:cs="Arial"/>
          <w:lang w:eastAsia="en-GB"/>
        </w:rPr>
      </w:pPr>
    </w:p>
    <w:p w14:paraId="460A7C18" w14:textId="33005FE0" w:rsidR="00D53E3A" w:rsidRPr="00D605F5" w:rsidRDefault="008C6D36" w:rsidP="000032D4">
      <w:pPr>
        <w:pStyle w:val="ListParagraph"/>
        <w:numPr>
          <w:ilvl w:val="0"/>
          <w:numId w:val="8"/>
        </w:numPr>
        <w:jc w:val="both"/>
        <w:rPr>
          <w:rFonts w:ascii="Arial" w:hAnsi="Arial" w:cs="Arial"/>
        </w:rPr>
      </w:pPr>
      <w:r w:rsidRPr="00D605F5">
        <w:rPr>
          <w:rFonts w:ascii="Arial" w:hAnsi="Arial" w:cs="Arial"/>
        </w:rPr>
        <w:t>Donna was a 42-year-old white British woma</w:t>
      </w:r>
      <w:r w:rsidR="004D1209" w:rsidRPr="00D605F5">
        <w:rPr>
          <w:rFonts w:ascii="Arial" w:hAnsi="Arial" w:cs="Arial"/>
        </w:rPr>
        <w:t xml:space="preserve">n and </w:t>
      </w:r>
      <w:r w:rsidRPr="00D605F5">
        <w:rPr>
          <w:rFonts w:ascii="Arial" w:hAnsi="Arial" w:cs="Arial"/>
        </w:rPr>
        <w:t>the mother of three children</w:t>
      </w:r>
      <w:r w:rsidR="004D1209" w:rsidRPr="00D605F5">
        <w:rPr>
          <w:rFonts w:ascii="Arial" w:hAnsi="Arial" w:cs="Arial"/>
        </w:rPr>
        <w:t>.</w:t>
      </w:r>
      <w:r w:rsidR="00D53E3A" w:rsidRPr="00D605F5">
        <w:rPr>
          <w:rFonts w:ascii="Arial" w:hAnsi="Arial" w:cs="Arial"/>
        </w:rPr>
        <w:t xml:space="preserve"> Donna was proud of her job as a manager of care services</w:t>
      </w:r>
      <w:r w:rsidR="0085789E" w:rsidRPr="00D605F5">
        <w:rPr>
          <w:rFonts w:ascii="Arial" w:hAnsi="Arial" w:cs="Arial"/>
        </w:rPr>
        <w:t xml:space="preserve">. </w:t>
      </w:r>
      <w:r w:rsidR="004D1209" w:rsidRPr="00D605F5">
        <w:rPr>
          <w:rFonts w:ascii="Arial" w:hAnsi="Arial" w:cs="Arial"/>
        </w:rPr>
        <w:t xml:space="preserve">Donna </w:t>
      </w:r>
      <w:r w:rsidRPr="00D605F5">
        <w:rPr>
          <w:rFonts w:ascii="Arial" w:hAnsi="Arial" w:cs="Arial"/>
        </w:rPr>
        <w:t>liked cooking, floristry and reading</w:t>
      </w:r>
      <w:r w:rsidR="00D4401D" w:rsidRPr="00D605F5">
        <w:rPr>
          <w:rFonts w:ascii="Arial" w:hAnsi="Arial" w:cs="Arial"/>
        </w:rPr>
        <w:t>.</w:t>
      </w:r>
      <w:r w:rsidRPr="00D605F5">
        <w:rPr>
          <w:rFonts w:ascii="Arial" w:hAnsi="Arial" w:cs="Arial"/>
        </w:rPr>
        <w:t xml:space="preserve"> </w:t>
      </w:r>
    </w:p>
    <w:p w14:paraId="1E11A52E" w14:textId="77777777" w:rsidR="00D53E3A" w:rsidRPr="00D605F5" w:rsidRDefault="00D53E3A" w:rsidP="00D53E3A">
      <w:pPr>
        <w:pStyle w:val="ListParagraph"/>
        <w:jc w:val="both"/>
        <w:rPr>
          <w:rFonts w:ascii="Arial" w:hAnsi="Arial" w:cs="Arial"/>
        </w:rPr>
      </w:pPr>
    </w:p>
    <w:p w14:paraId="551D88CE" w14:textId="482B7F2D" w:rsidR="00D53E3A" w:rsidRPr="00D605F5" w:rsidRDefault="004D1209" w:rsidP="000032D4">
      <w:pPr>
        <w:pStyle w:val="ListParagraph"/>
        <w:numPr>
          <w:ilvl w:val="0"/>
          <w:numId w:val="8"/>
        </w:numPr>
        <w:jc w:val="both"/>
        <w:rPr>
          <w:rFonts w:ascii="Arial" w:hAnsi="Arial" w:cs="Arial"/>
        </w:rPr>
      </w:pPr>
      <w:r w:rsidRPr="00D605F5">
        <w:rPr>
          <w:rFonts w:ascii="Arial" w:hAnsi="Arial" w:cs="Arial"/>
        </w:rPr>
        <w:t>Donna was alcohol dependent</w:t>
      </w:r>
      <w:r w:rsidR="00D53E3A" w:rsidRPr="00D605F5">
        <w:rPr>
          <w:rFonts w:ascii="Arial" w:hAnsi="Arial" w:cs="Arial"/>
        </w:rPr>
        <w:t xml:space="preserve">, </w:t>
      </w:r>
      <w:r w:rsidRPr="00D605F5">
        <w:rPr>
          <w:rFonts w:ascii="Arial" w:hAnsi="Arial" w:cs="Arial"/>
        </w:rPr>
        <w:t xml:space="preserve">her sight diminished suddenly in September 2020 </w:t>
      </w:r>
      <w:r w:rsidR="00D53E3A" w:rsidRPr="00D605F5">
        <w:rPr>
          <w:rFonts w:ascii="Arial" w:hAnsi="Arial" w:cs="Arial"/>
        </w:rPr>
        <w:t>(</w:t>
      </w:r>
      <w:r w:rsidRPr="00D605F5">
        <w:rPr>
          <w:rFonts w:ascii="Arial" w:hAnsi="Arial" w:cs="Arial"/>
        </w:rPr>
        <w:t>possibly due to alcohol misuse and nerve damage</w:t>
      </w:r>
      <w:r w:rsidR="00D53E3A" w:rsidRPr="00D605F5">
        <w:rPr>
          <w:rFonts w:ascii="Arial" w:hAnsi="Arial" w:cs="Arial"/>
        </w:rPr>
        <w:t xml:space="preserve">) and her mobility deteriorated meaning she was less able to do the things that she enjoyed. </w:t>
      </w:r>
    </w:p>
    <w:p w14:paraId="56D8FAF6" w14:textId="77777777" w:rsidR="00D53E3A" w:rsidRPr="00D605F5" w:rsidRDefault="00D53E3A" w:rsidP="00D53E3A">
      <w:pPr>
        <w:pStyle w:val="ListParagraph"/>
        <w:rPr>
          <w:rFonts w:ascii="Arial" w:hAnsi="Arial" w:cs="Arial"/>
        </w:rPr>
      </w:pPr>
    </w:p>
    <w:p w14:paraId="7EE2AB17" w14:textId="34BD33EF" w:rsidR="008C6D36" w:rsidRPr="00D605F5" w:rsidRDefault="00D53E3A" w:rsidP="000032D4">
      <w:pPr>
        <w:pStyle w:val="ListParagraph"/>
        <w:numPr>
          <w:ilvl w:val="0"/>
          <w:numId w:val="8"/>
        </w:numPr>
        <w:jc w:val="both"/>
        <w:rPr>
          <w:rFonts w:ascii="Arial" w:hAnsi="Arial" w:cs="Arial"/>
        </w:rPr>
      </w:pPr>
      <w:r w:rsidRPr="00D605F5">
        <w:rPr>
          <w:rFonts w:ascii="Arial" w:hAnsi="Arial" w:cs="Arial"/>
        </w:rPr>
        <w:t>Donna’s</w:t>
      </w:r>
      <w:r w:rsidR="004D1209" w:rsidRPr="00D605F5">
        <w:rPr>
          <w:rFonts w:ascii="Arial" w:hAnsi="Arial" w:cs="Arial"/>
        </w:rPr>
        <w:t xml:space="preserve"> condition continued to deteriorate in the period leading up to</w:t>
      </w:r>
      <w:r w:rsidRPr="00D605F5">
        <w:rPr>
          <w:rFonts w:ascii="Arial" w:hAnsi="Arial" w:cs="Arial"/>
        </w:rPr>
        <w:t xml:space="preserve"> her unexpected death shortly before her 43</w:t>
      </w:r>
      <w:r w:rsidRPr="00D605F5">
        <w:rPr>
          <w:rFonts w:ascii="Arial" w:hAnsi="Arial" w:cs="Arial"/>
          <w:vertAlign w:val="superscript"/>
        </w:rPr>
        <w:t>rd</w:t>
      </w:r>
      <w:r w:rsidRPr="00D605F5">
        <w:rPr>
          <w:rFonts w:ascii="Arial" w:hAnsi="Arial" w:cs="Arial"/>
        </w:rPr>
        <w:t xml:space="preserve"> birthday </w:t>
      </w:r>
      <w:r w:rsidR="00EB6A22" w:rsidRPr="00D605F5">
        <w:rPr>
          <w:rFonts w:ascii="Arial" w:hAnsi="Arial" w:cs="Arial"/>
        </w:rPr>
        <w:t>in July 2021</w:t>
      </w:r>
      <w:r w:rsidRPr="00D605F5">
        <w:rPr>
          <w:rFonts w:ascii="Arial" w:hAnsi="Arial" w:cs="Arial"/>
        </w:rPr>
        <w:t>.</w:t>
      </w:r>
    </w:p>
    <w:p w14:paraId="597E2A9E" w14:textId="77777777" w:rsidR="00D53E3A" w:rsidRPr="00D605F5" w:rsidRDefault="00D53E3A" w:rsidP="00D53E3A">
      <w:pPr>
        <w:jc w:val="both"/>
        <w:rPr>
          <w:rFonts w:ascii="Arial" w:hAnsi="Arial" w:cs="Arial"/>
        </w:rPr>
      </w:pPr>
    </w:p>
    <w:p w14:paraId="23D8B4B1" w14:textId="18D359BC" w:rsidR="006B79F0" w:rsidRPr="00D605F5" w:rsidRDefault="008C6D36" w:rsidP="000032D4">
      <w:pPr>
        <w:pStyle w:val="ListParagraph"/>
        <w:numPr>
          <w:ilvl w:val="0"/>
          <w:numId w:val="8"/>
        </w:numPr>
        <w:jc w:val="both"/>
        <w:rPr>
          <w:rFonts w:ascii="Arial" w:hAnsi="Arial" w:cs="Arial"/>
        </w:rPr>
      </w:pPr>
      <w:r w:rsidRPr="00D605F5">
        <w:rPr>
          <w:rFonts w:ascii="Arial" w:hAnsi="Arial" w:cs="Arial"/>
        </w:rPr>
        <w:t>Donna was known to several agencies, and agencies</w:t>
      </w:r>
      <w:r w:rsidR="00760446" w:rsidRPr="00D605F5">
        <w:rPr>
          <w:rFonts w:ascii="Arial" w:hAnsi="Arial" w:cs="Arial"/>
        </w:rPr>
        <w:t xml:space="preserve"> were not always able to engage effectively with her. </w:t>
      </w:r>
      <w:r w:rsidRPr="00D605F5">
        <w:rPr>
          <w:rFonts w:ascii="Arial" w:hAnsi="Arial" w:cs="Arial"/>
        </w:rPr>
        <w:t>There were concerns regarding the neglect of her home environment as well as the risks that excessive drinking was having on her health</w:t>
      </w:r>
      <w:r w:rsidR="00A67416" w:rsidRPr="00D605F5">
        <w:rPr>
          <w:rFonts w:ascii="Arial" w:hAnsi="Arial" w:cs="Arial"/>
        </w:rPr>
        <w:t xml:space="preserve">. </w:t>
      </w:r>
      <w:r w:rsidRPr="00D605F5">
        <w:rPr>
          <w:rFonts w:ascii="Arial" w:hAnsi="Arial" w:cs="Arial"/>
        </w:rPr>
        <w:t>Donna’s mobility and ability to manage transfers, for example, from sitting to standing, had deteriorated over the last year of her life</w:t>
      </w:r>
      <w:r w:rsidR="00A67416" w:rsidRPr="00D605F5">
        <w:rPr>
          <w:rFonts w:ascii="Arial" w:hAnsi="Arial" w:cs="Arial"/>
        </w:rPr>
        <w:t xml:space="preserve">. </w:t>
      </w:r>
    </w:p>
    <w:p w14:paraId="3C1CE81C" w14:textId="77777777" w:rsidR="006B79F0" w:rsidRPr="00D605F5" w:rsidRDefault="006B79F0" w:rsidP="00957988">
      <w:pPr>
        <w:pStyle w:val="ListParagraph"/>
        <w:jc w:val="both"/>
        <w:rPr>
          <w:rFonts w:ascii="Arial" w:hAnsi="Arial" w:cs="Arial"/>
        </w:rPr>
      </w:pPr>
    </w:p>
    <w:p w14:paraId="435F7E00" w14:textId="53CFFF3E" w:rsidR="006B79F0" w:rsidRPr="00D605F5" w:rsidRDefault="006B79F0" w:rsidP="000032D4">
      <w:pPr>
        <w:pStyle w:val="ListParagraph"/>
        <w:numPr>
          <w:ilvl w:val="0"/>
          <w:numId w:val="8"/>
        </w:numPr>
        <w:jc w:val="both"/>
        <w:rPr>
          <w:rFonts w:ascii="Arial" w:hAnsi="Arial" w:cs="Arial"/>
        </w:rPr>
      </w:pPr>
      <w:r w:rsidRPr="00D605F5">
        <w:rPr>
          <w:rFonts w:ascii="Arial" w:hAnsi="Arial" w:cs="Arial"/>
        </w:rPr>
        <w:t xml:space="preserve">Donna’s partner told the family’s social worker that Donna had misused alcohol throughout their relationship together, and that it had gradually become worse over time. Practitioners believed that the breakdown of Donna’s family together with the loss of her job were triggers for her deteriorating mental health and possibly increased alcohol consumption. </w:t>
      </w:r>
    </w:p>
    <w:p w14:paraId="5A664893" w14:textId="77777777" w:rsidR="00C42659" w:rsidRPr="00D605F5" w:rsidRDefault="00C42659" w:rsidP="00957988">
      <w:pPr>
        <w:pStyle w:val="ListParagraph"/>
        <w:jc w:val="both"/>
        <w:rPr>
          <w:rFonts w:ascii="Arial" w:hAnsi="Arial" w:cs="Arial"/>
        </w:rPr>
      </w:pPr>
    </w:p>
    <w:p w14:paraId="6D7FC99C" w14:textId="0362DB5A" w:rsidR="00C42659" w:rsidRPr="00D605F5" w:rsidRDefault="00C42659" w:rsidP="00957988">
      <w:pPr>
        <w:pStyle w:val="ListParagraph"/>
        <w:jc w:val="both"/>
        <w:rPr>
          <w:rFonts w:ascii="Arial" w:hAnsi="Arial" w:cs="Arial"/>
        </w:rPr>
      </w:pPr>
    </w:p>
    <w:p w14:paraId="09417EB0" w14:textId="77777777" w:rsidR="00C42659" w:rsidRPr="00D605F5" w:rsidRDefault="00C42659" w:rsidP="00957988">
      <w:pPr>
        <w:spacing w:line="276" w:lineRule="auto"/>
        <w:ind w:left="360"/>
        <w:jc w:val="both"/>
        <w:rPr>
          <w:rFonts w:ascii="Arial" w:hAnsi="Arial" w:cs="Arial"/>
          <w:b/>
          <w:bCs/>
          <w:color w:val="000000" w:themeColor="text1"/>
        </w:rPr>
      </w:pPr>
    </w:p>
    <w:p w14:paraId="30A5DB71" w14:textId="6C2A4AC0" w:rsidR="00C42659" w:rsidRPr="00D605F5" w:rsidRDefault="00D33276" w:rsidP="000032D4">
      <w:pPr>
        <w:pStyle w:val="Heading1"/>
        <w:numPr>
          <w:ilvl w:val="0"/>
          <w:numId w:val="10"/>
        </w:numPr>
        <w:jc w:val="both"/>
        <w:rPr>
          <w:rFonts w:ascii="Arial" w:hAnsi="Arial" w:cs="Arial"/>
          <w:sz w:val="24"/>
          <w:szCs w:val="24"/>
          <w:u w:val="single"/>
        </w:rPr>
      </w:pPr>
      <w:bookmarkStart w:id="1" w:name="_Toc147494556"/>
      <w:r w:rsidRPr="00D605F5">
        <w:rPr>
          <w:rFonts w:ascii="Arial" w:hAnsi="Arial" w:cs="Arial"/>
          <w:sz w:val="24"/>
          <w:szCs w:val="24"/>
          <w:u w:val="single"/>
        </w:rPr>
        <w:t>Thematic review</w:t>
      </w:r>
      <w:bookmarkEnd w:id="1"/>
    </w:p>
    <w:p w14:paraId="02D039AE" w14:textId="20905699" w:rsidR="00C42659" w:rsidRPr="00D605F5" w:rsidRDefault="00C42659" w:rsidP="00957988">
      <w:pPr>
        <w:pStyle w:val="ListParagraph"/>
        <w:jc w:val="both"/>
        <w:rPr>
          <w:rFonts w:ascii="Arial" w:hAnsi="Arial" w:cs="Arial"/>
        </w:rPr>
      </w:pPr>
    </w:p>
    <w:p w14:paraId="0C4725CC" w14:textId="3A57C16C" w:rsidR="00917DA3" w:rsidRPr="00D605F5" w:rsidRDefault="00917DA3" w:rsidP="000032D4">
      <w:pPr>
        <w:numPr>
          <w:ilvl w:val="0"/>
          <w:numId w:val="9"/>
        </w:numPr>
        <w:autoSpaceDE w:val="0"/>
        <w:autoSpaceDN w:val="0"/>
        <w:adjustRightInd w:val="0"/>
        <w:jc w:val="both"/>
        <w:rPr>
          <w:rFonts w:ascii="Arial" w:hAnsi="Arial" w:cs="Arial"/>
          <w:color w:val="000000"/>
        </w:rPr>
      </w:pPr>
      <w:r w:rsidRPr="00D605F5">
        <w:rPr>
          <w:rFonts w:ascii="Arial" w:hAnsi="Arial" w:cs="Arial"/>
          <w:color w:val="000000"/>
        </w:rPr>
        <w:t xml:space="preserve"> ‘Alcohol Change UK</w:t>
      </w:r>
      <w:r w:rsidR="0085789E" w:rsidRPr="00D605F5">
        <w:rPr>
          <w:rFonts w:ascii="Arial" w:hAnsi="Arial" w:cs="Arial"/>
          <w:color w:val="000000"/>
        </w:rPr>
        <w:t>,’</w:t>
      </w:r>
      <w:r w:rsidRPr="00D605F5">
        <w:rPr>
          <w:rFonts w:ascii="Arial" w:hAnsi="Arial" w:cs="Arial"/>
          <w:color w:val="000000"/>
        </w:rPr>
        <w:t xml:space="preserve"> </w:t>
      </w:r>
      <w:r w:rsidR="00842E18" w:rsidRPr="00D605F5">
        <w:rPr>
          <w:rFonts w:ascii="Arial" w:hAnsi="Arial" w:cs="Arial"/>
          <w:color w:val="000000"/>
        </w:rPr>
        <w:t>(</w:t>
      </w:r>
      <w:r w:rsidRPr="00D605F5">
        <w:rPr>
          <w:rFonts w:ascii="Arial" w:hAnsi="Arial" w:cs="Arial"/>
          <w:color w:val="000000"/>
        </w:rPr>
        <w:t>July 2019</w:t>
      </w:r>
      <w:r w:rsidR="00842E18" w:rsidRPr="00D605F5">
        <w:rPr>
          <w:rFonts w:ascii="Arial" w:hAnsi="Arial" w:cs="Arial"/>
          <w:color w:val="000000"/>
        </w:rPr>
        <w:t>) published a</w:t>
      </w:r>
      <w:r w:rsidRPr="00D605F5">
        <w:rPr>
          <w:rFonts w:ascii="Arial" w:hAnsi="Arial" w:cs="Arial"/>
          <w:color w:val="000000"/>
        </w:rPr>
        <w:t xml:space="preserve"> report</w:t>
      </w:r>
      <w:r w:rsidR="00760446" w:rsidRPr="00D605F5">
        <w:rPr>
          <w:rStyle w:val="FootnoteReference"/>
          <w:rFonts w:ascii="Arial" w:hAnsi="Arial" w:cs="Arial"/>
          <w:color w:val="000000"/>
        </w:rPr>
        <w:footnoteReference w:id="1"/>
      </w:r>
      <w:r w:rsidRPr="00D605F5">
        <w:rPr>
          <w:rFonts w:ascii="Arial" w:hAnsi="Arial" w:cs="Arial"/>
          <w:color w:val="000000"/>
        </w:rPr>
        <w:t>, “</w:t>
      </w:r>
      <w:r w:rsidRPr="00D605F5">
        <w:rPr>
          <w:rFonts w:ascii="Arial" w:hAnsi="Arial" w:cs="Arial"/>
          <w:i/>
          <w:iCs/>
          <w:color w:val="000000"/>
        </w:rPr>
        <w:t>Learning from Tragedies: An analysis of alcohol-related Safeguarding Adults Reviews published in 2017</w:t>
      </w:r>
      <w:r w:rsidRPr="00D605F5">
        <w:rPr>
          <w:rFonts w:ascii="Arial" w:hAnsi="Arial" w:cs="Arial"/>
          <w:color w:val="000000"/>
        </w:rPr>
        <w:t xml:space="preserve">”, analysed 11 SARs and identified a number of themes common to all the reviews. Building on these, a further SAR (Andrew, Staffordshire and Stoke, 2022) identified eleven themes. These eleven themes </w:t>
      </w:r>
      <w:r w:rsidR="00F1773C" w:rsidRPr="00D605F5">
        <w:rPr>
          <w:rFonts w:ascii="Arial" w:hAnsi="Arial" w:cs="Arial"/>
          <w:color w:val="000000"/>
        </w:rPr>
        <w:t>were explored in context of Donna’s case as follows:</w:t>
      </w:r>
    </w:p>
    <w:p w14:paraId="7F3510DA" w14:textId="31D4897C" w:rsidR="00F1773C" w:rsidRPr="00D605F5" w:rsidRDefault="00F1773C" w:rsidP="00957988">
      <w:pPr>
        <w:autoSpaceDE w:val="0"/>
        <w:autoSpaceDN w:val="0"/>
        <w:adjustRightInd w:val="0"/>
        <w:jc w:val="both"/>
        <w:rPr>
          <w:rFonts w:ascii="Arial" w:hAnsi="Arial" w:cs="Arial"/>
          <w:color w:val="000000"/>
        </w:rPr>
      </w:pPr>
    </w:p>
    <w:p w14:paraId="54C679E0" w14:textId="041AD074" w:rsidR="00F1773C" w:rsidRPr="00D605F5" w:rsidRDefault="004D15EE" w:rsidP="00957988">
      <w:pPr>
        <w:autoSpaceDE w:val="0"/>
        <w:autoSpaceDN w:val="0"/>
        <w:adjustRightInd w:val="0"/>
        <w:jc w:val="both"/>
        <w:rPr>
          <w:rFonts w:ascii="Arial" w:hAnsi="Arial" w:cs="Arial"/>
          <w:b/>
          <w:bCs/>
          <w:i/>
          <w:iCs/>
          <w:color w:val="000000"/>
        </w:rPr>
      </w:pPr>
      <w:r w:rsidRPr="00D605F5">
        <w:rPr>
          <w:rFonts w:ascii="Arial" w:hAnsi="Arial" w:cs="Arial"/>
          <w:b/>
          <w:bCs/>
          <w:i/>
          <w:iCs/>
          <w:color w:val="000000"/>
        </w:rPr>
        <w:t xml:space="preserve">Theme 1: </w:t>
      </w:r>
      <w:r w:rsidR="00F1773C" w:rsidRPr="00D605F5">
        <w:rPr>
          <w:rFonts w:ascii="Arial" w:hAnsi="Arial" w:cs="Arial"/>
          <w:b/>
          <w:bCs/>
          <w:i/>
          <w:iCs/>
          <w:color w:val="000000"/>
        </w:rPr>
        <w:t>Agencies’ engage</w:t>
      </w:r>
      <w:r w:rsidR="0085789E" w:rsidRPr="00D605F5">
        <w:rPr>
          <w:rFonts w:ascii="Arial" w:hAnsi="Arial" w:cs="Arial"/>
          <w:b/>
          <w:bCs/>
          <w:i/>
          <w:iCs/>
          <w:color w:val="000000"/>
        </w:rPr>
        <w:t>ment</w:t>
      </w:r>
      <w:r w:rsidR="00F1773C" w:rsidRPr="00D605F5">
        <w:rPr>
          <w:rFonts w:ascii="Arial" w:hAnsi="Arial" w:cs="Arial"/>
          <w:b/>
          <w:bCs/>
          <w:i/>
          <w:iCs/>
          <w:color w:val="000000"/>
        </w:rPr>
        <w:t xml:space="preserve"> with Donna</w:t>
      </w:r>
    </w:p>
    <w:p w14:paraId="0E1E1FDC" w14:textId="77777777" w:rsidR="004D15EE" w:rsidRPr="00D605F5" w:rsidRDefault="004D15EE" w:rsidP="00957988">
      <w:pPr>
        <w:autoSpaceDE w:val="0"/>
        <w:autoSpaceDN w:val="0"/>
        <w:adjustRightInd w:val="0"/>
        <w:jc w:val="both"/>
        <w:rPr>
          <w:rFonts w:ascii="Arial" w:hAnsi="Arial" w:cs="Arial"/>
          <w:b/>
          <w:bCs/>
          <w:color w:val="000000"/>
        </w:rPr>
      </w:pPr>
    </w:p>
    <w:p w14:paraId="5D3E6A2E" w14:textId="0D980537" w:rsidR="00F1773C" w:rsidRPr="00D605F5" w:rsidRDefault="00F1773C" w:rsidP="00957988">
      <w:pPr>
        <w:autoSpaceDE w:val="0"/>
        <w:autoSpaceDN w:val="0"/>
        <w:adjustRightInd w:val="0"/>
        <w:jc w:val="both"/>
        <w:rPr>
          <w:rFonts w:ascii="Arial" w:hAnsi="Arial" w:cs="Arial"/>
          <w:color w:val="000000"/>
        </w:rPr>
      </w:pPr>
      <w:r w:rsidRPr="00D605F5">
        <w:rPr>
          <w:rFonts w:ascii="Arial" w:hAnsi="Arial" w:cs="Arial"/>
          <w:color w:val="000000"/>
        </w:rPr>
        <w:t xml:space="preserve">Agencies </w:t>
      </w:r>
      <w:r w:rsidR="00760446" w:rsidRPr="00D605F5">
        <w:rPr>
          <w:rFonts w:ascii="Arial" w:hAnsi="Arial" w:cs="Arial"/>
          <w:color w:val="000000"/>
        </w:rPr>
        <w:t xml:space="preserve">were not always able to engage or </w:t>
      </w:r>
      <w:r w:rsidRPr="00D605F5">
        <w:rPr>
          <w:rFonts w:ascii="Arial" w:hAnsi="Arial" w:cs="Arial"/>
          <w:color w:val="000000"/>
        </w:rPr>
        <w:t xml:space="preserve">secure Donna’s engagement at times. There were instances of Donna not attending medical appointments and she regularly refused personal care. She would allow some carers to help her but not others. </w:t>
      </w:r>
    </w:p>
    <w:p w14:paraId="72E0B428" w14:textId="77777777" w:rsidR="00F1773C" w:rsidRPr="00D605F5" w:rsidRDefault="00F1773C" w:rsidP="00957988">
      <w:pPr>
        <w:autoSpaceDE w:val="0"/>
        <w:autoSpaceDN w:val="0"/>
        <w:adjustRightInd w:val="0"/>
        <w:jc w:val="both"/>
        <w:rPr>
          <w:rFonts w:ascii="Arial" w:hAnsi="Arial" w:cs="Arial"/>
          <w:color w:val="000000"/>
        </w:rPr>
      </w:pPr>
    </w:p>
    <w:p w14:paraId="360B2140" w14:textId="23582299" w:rsidR="00F1773C" w:rsidRPr="00D605F5" w:rsidRDefault="00F1773C" w:rsidP="00957988">
      <w:pPr>
        <w:autoSpaceDE w:val="0"/>
        <w:autoSpaceDN w:val="0"/>
        <w:adjustRightInd w:val="0"/>
        <w:spacing w:after="316"/>
        <w:jc w:val="both"/>
        <w:rPr>
          <w:rFonts w:ascii="Arial" w:hAnsi="Arial" w:cs="Arial"/>
          <w:color w:val="000000"/>
        </w:rPr>
      </w:pPr>
      <w:r w:rsidRPr="00D605F5">
        <w:rPr>
          <w:rFonts w:ascii="Arial" w:hAnsi="Arial" w:cs="Arial"/>
          <w:color w:val="000000"/>
        </w:rPr>
        <w:t xml:space="preserve">CGL STAR </w:t>
      </w:r>
      <w:r w:rsidR="002B08EF" w:rsidRPr="00D605F5">
        <w:rPr>
          <w:rFonts w:ascii="Arial" w:hAnsi="Arial" w:cs="Arial"/>
          <w:color w:val="000000"/>
        </w:rPr>
        <w:t xml:space="preserve">(the local alcohol and drug treatment and recovery service) </w:t>
      </w:r>
      <w:r w:rsidRPr="00D605F5">
        <w:rPr>
          <w:rFonts w:ascii="Arial" w:hAnsi="Arial" w:cs="Arial"/>
          <w:color w:val="000000"/>
        </w:rPr>
        <w:t xml:space="preserve">consistently tried to help Donna, and although CGL STAR did have some success in engaging with Donna, it was sporadic. A practitioner from CGL STAR who had worked with Donna </w:t>
      </w:r>
      <w:r w:rsidRPr="00D605F5">
        <w:rPr>
          <w:rFonts w:ascii="Arial" w:hAnsi="Arial" w:cs="Arial"/>
          <w:color w:val="000000"/>
        </w:rPr>
        <w:lastRenderedPageBreak/>
        <w:t xml:space="preserve">since September 2020 had adopted a “flexible” approach with Donna but </w:t>
      </w:r>
      <w:r w:rsidR="00A923BE" w:rsidRPr="00D605F5">
        <w:rPr>
          <w:rFonts w:ascii="Arial" w:hAnsi="Arial" w:cs="Arial"/>
          <w:color w:val="000000"/>
        </w:rPr>
        <w:t>was unable to fully</w:t>
      </w:r>
      <w:r w:rsidRPr="00D605F5">
        <w:rPr>
          <w:rFonts w:ascii="Arial" w:hAnsi="Arial" w:cs="Arial"/>
          <w:color w:val="000000"/>
        </w:rPr>
        <w:t xml:space="preserve"> to secure her engagement. </w:t>
      </w:r>
    </w:p>
    <w:p w14:paraId="64077368" w14:textId="06F9A3BE" w:rsidR="00F1773C" w:rsidRPr="00D605F5" w:rsidRDefault="00F1773C" w:rsidP="00957988">
      <w:pPr>
        <w:autoSpaceDE w:val="0"/>
        <w:autoSpaceDN w:val="0"/>
        <w:adjustRightInd w:val="0"/>
        <w:jc w:val="both"/>
        <w:rPr>
          <w:rFonts w:ascii="Arial" w:hAnsi="Arial" w:cs="Arial"/>
          <w:color w:val="000000"/>
        </w:rPr>
      </w:pPr>
      <w:r w:rsidRPr="00D605F5">
        <w:rPr>
          <w:rFonts w:ascii="Arial" w:hAnsi="Arial" w:cs="Arial"/>
          <w:color w:val="000000"/>
        </w:rPr>
        <w:t>Donna was involved with the SWIFT</w:t>
      </w:r>
      <w:r w:rsidR="00D605F5" w:rsidRPr="00D605F5">
        <w:rPr>
          <w:rFonts w:ascii="Arial" w:hAnsi="Arial" w:cs="Arial"/>
          <w:color w:val="000000"/>
        </w:rPr>
        <w:t xml:space="preserve"> Specialist Family </w:t>
      </w:r>
      <w:r w:rsidRPr="00D605F5">
        <w:rPr>
          <w:rFonts w:ascii="Arial" w:hAnsi="Arial" w:cs="Arial"/>
          <w:color w:val="000000"/>
        </w:rPr>
        <w:t xml:space="preserve">drug and alcohol service as well as CGL STAR </w:t>
      </w:r>
      <w:r w:rsidR="00760446" w:rsidRPr="00D605F5">
        <w:rPr>
          <w:rFonts w:ascii="Arial" w:hAnsi="Arial" w:cs="Arial"/>
          <w:color w:val="000000"/>
        </w:rPr>
        <w:t xml:space="preserve">  </w:t>
      </w:r>
      <w:r w:rsidRPr="00D605F5">
        <w:rPr>
          <w:rFonts w:ascii="Arial" w:hAnsi="Arial" w:cs="Arial"/>
          <w:color w:val="000000"/>
        </w:rPr>
        <w:t xml:space="preserve">According to practitioners it is usual for there to be such a level of support in place when there is a high level of clinical risk. However, on reflection practitioners felt that having all these services involved at the same time could have been overwhelming for Donna. </w:t>
      </w:r>
    </w:p>
    <w:p w14:paraId="0CE350D9" w14:textId="14EEBD6A" w:rsidR="00F1773C" w:rsidRPr="00D605F5" w:rsidRDefault="00F1773C" w:rsidP="00957988">
      <w:pPr>
        <w:autoSpaceDE w:val="0"/>
        <w:autoSpaceDN w:val="0"/>
        <w:adjustRightInd w:val="0"/>
        <w:jc w:val="both"/>
        <w:rPr>
          <w:rFonts w:ascii="Arial" w:hAnsi="Arial" w:cs="Arial"/>
          <w:color w:val="000000"/>
        </w:rPr>
      </w:pPr>
    </w:p>
    <w:p w14:paraId="7C25C555" w14:textId="517C6B94" w:rsidR="003746AC" w:rsidRPr="00D605F5" w:rsidRDefault="003746AC" w:rsidP="00957988">
      <w:pPr>
        <w:autoSpaceDE w:val="0"/>
        <w:autoSpaceDN w:val="0"/>
        <w:adjustRightInd w:val="0"/>
        <w:jc w:val="both"/>
        <w:rPr>
          <w:rFonts w:ascii="Arial" w:hAnsi="Arial" w:cs="Arial"/>
          <w:color w:val="000000" w:themeColor="text1"/>
        </w:rPr>
      </w:pPr>
      <w:r w:rsidRPr="00D605F5">
        <w:rPr>
          <w:rFonts w:ascii="Arial" w:hAnsi="Arial" w:cs="Arial"/>
          <w:color w:val="000000" w:themeColor="text1"/>
        </w:rPr>
        <w:t xml:space="preserve">SWIFT discharged Donna on 27/1/21 </w:t>
      </w:r>
      <w:r w:rsidR="00760446" w:rsidRPr="00D605F5">
        <w:rPr>
          <w:rFonts w:ascii="Arial" w:hAnsi="Arial" w:cs="Arial"/>
          <w:color w:val="000000" w:themeColor="text1"/>
        </w:rPr>
        <w:t xml:space="preserve">as they were not able to engage with </w:t>
      </w:r>
      <w:r w:rsidRPr="00D605F5">
        <w:rPr>
          <w:rFonts w:ascii="Arial" w:hAnsi="Arial" w:cs="Arial"/>
          <w:color w:val="000000" w:themeColor="text1"/>
        </w:rPr>
        <w:t xml:space="preserve">Donna in any interventions however brief and SWIFT considered that its involvement was not making the situation any safer. SWIFT identified that Donna was underreporting her alcohol consumption and detected higher levels of drinking through </w:t>
      </w:r>
      <w:r w:rsidR="00F508AB" w:rsidRPr="00D605F5">
        <w:rPr>
          <w:rFonts w:ascii="Arial" w:hAnsi="Arial" w:cs="Arial"/>
          <w:color w:val="000000" w:themeColor="text1"/>
        </w:rPr>
        <w:t>breathalysing</w:t>
      </w:r>
      <w:r w:rsidRPr="00D605F5">
        <w:rPr>
          <w:rFonts w:ascii="Arial" w:hAnsi="Arial" w:cs="Arial"/>
          <w:color w:val="000000" w:themeColor="text1"/>
        </w:rPr>
        <w:t>.</w:t>
      </w:r>
    </w:p>
    <w:p w14:paraId="3CB5BE51" w14:textId="77777777" w:rsidR="003746AC" w:rsidRPr="00D605F5" w:rsidRDefault="003746AC" w:rsidP="00957988">
      <w:pPr>
        <w:autoSpaceDE w:val="0"/>
        <w:autoSpaceDN w:val="0"/>
        <w:adjustRightInd w:val="0"/>
        <w:jc w:val="both"/>
        <w:rPr>
          <w:rFonts w:ascii="Arial" w:hAnsi="Arial" w:cs="Arial"/>
        </w:rPr>
      </w:pPr>
    </w:p>
    <w:p w14:paraId="3AF31201" w14:textId="122CB695" w:rsidR="003746AC" w:rsidRPr="00D605F5" w:rsidRDefault="003746AC" w:rsidP="00957988">
      <w:pPr>
        <w:jc w:val="both"/>
        <w:rPr>
          <w:rFonts w:ascii="Arial" w:hAnsi="Arial" w:cs="Arial"/>
        </w:rPr>
      </w:pPr>
      <w:r w:rsidRPr="00D605F5">
        <w:rPr>
          <w:rFonts w:ascii="Arial" w:hAnsi="Arial" w:cs="Arial"/>
        </w:rPr>
        <w:t xml:space="preserve">On reflection practitioners noted that Donna may have been reluctant to reveal her true level of drinking because she feared that it would be reported back to a social worker and subsequently affect access to her children or that she may be penalised in some other way. </w:t>
      </w:r>
    </w:p>
    <w:p w14:paraId="58653CD5" w14:textId="3EDB94E4" w:rsidR="003746AC" w:rsidRPr="00D605F5" w:rsidRDefault="003746AC" w:rsidP="00957988">
      <w:pPr>
        <w:jc w:val="both"/>
        <w:rPr>
          <w:rFonts w:ascii="Arial" w:hAnsi="Arial" w:cs="Arial"/>
        </w:rPr>
      </w:pPr>
    </w:p>
    <w:p w14:paraId="04C1DC87" w14:textId="728F5868" w:rsidR="003746AC" w:rsidRPr="00D605F5" w:rsidRDefault="004D15EE" w:rsidP="00957988">
      <w:pPr>
        <w:jc w:val="both"/>
        <w:rPr>
          <w:rFonts w:ascii="Arial" w:hAnsi="Arial" w:cs="Arial"/>
          <w:b/>
          <w:bCs/>
          <w:i/>
          <w:iCs/>
        </w:rPr>
      </w:pPr>
      <w:r w:rsidRPr="00D605F5">
        <w:rPr>
          <w:rFonts w:ascii="Arial" w:hAnsi="Arial" w:cs="Arial"/>
          <w:b/>
          <w:bCs/>
          <w:i/>
          <w:iCs/>
          <w:color w:val="000000"/>
        </w:rPr>
        <w:t xml:space="preserve">Theme 2: </w:t>
      </w:r>
      <w:r w:rsidR="003746AC" w:rsidRPr="00D605F5">
        <w:rPr>
          <w:rFonts w:ascii="Arial" w:hAnsi="Arial" w:cs="Arial"/>
          <w:b/>
          <w:bCs/>
          <w:i/>
          <w:iCs/>
        </w:rPr>
        <w:t>Self-neglect</w:t>
      </w:r>
    </w:p>
    <w:p w14:paraId="5DF60EBD" w14:textId="43A05B86" w:rsidR="003746AC" w:rsidRPr="00D605F5" w:rsidRDefault="003746AC" w:rsidP="00957988">
      <w:pPr>
        <w:jc w:val="both"/>
        <w:rPr>
          <w:rFonts w:ascii="Arial" w:hAnsi="Arial" w:cs="Arial"/>
          <w:b/>
          <w:bCs/>
        </w:rPr>
      </w:pPr>
    </w:p>
    <w:p w14:paraId="3BF356FA" w14:textId="78DDBE82" w:rsidR="003746AC" w:rsidRPr="00D605F5" w:rsidRDefault="003746AC" w:rsidP="00957988">
      <w:pPr>
        <w:jc w:val="both"/>
        <w:rPr>
          <w:rFonts w:ascii="Arial" w:hAnsi="Arial" w:cs="Arial"/>
        </w:rPr>
      </w:pPr>
      <w:r w:rsidRPr="00D605F5">
        <w:rPr>
          <w:rFonts w:ascii="Arial" w:hAnsi="Arial" w:cs="Arial"/>
        </w:rPr>
        <w:t>There is evidence that Donna self-</w:t>
      </w:r>
      <w:r w:rsidR="00D605F5" w:rsidRPr="00D605F5">
        <w:rPr>
          <w:rFonts w:ascii="Arial" w:hAnsi="Arial" w:cs="Arial"/>
        </w:rPr>
        <w:t>neglected, heavy</w:t>
      </w:r>
      <w:r w:rsidRPr="00D605F5">
        <w:rPr>
          <w:rFonts w:ascii="Arial" w:hAnsi="Arial" w:cs="Arial"/>
        </w:rPr>
        <w:t xml:space="preserve"> alcohol use and the clinical risks associated with this </w:t>
      </w:r>
      <w:r w:rsidR="002B08EF" w:rsidRPr="00D605F5">
        <w:rPr>
          <w:rFonts w:ascii="Arial" w:hAnsi="Arial" w:cs="Arial"/>
        </w:rPr>
        <w:t xml:space="preserve">are </w:t>
      </w:r>
      <w:r w:rsidRPr="00D605F5">
        <w:rPr>
          <w:rFonts w:ascii="Arial" w:hAnsi="Arial" w:cs="Arial"/>
        </w:rPr>
        <w:t xml:space="preserve"> an example</w:t>
      </w:r>
      <w:r w:rsidR="002B08EF" w:rsidRPr="00D605F5">
        <w:rPr>
          <w:rFonts w:ascii="Arial" w:hAnsi="Arial" w:cs="Arial"/>
        </w:rPr>
        <w:t xml:space="preserve"> of this</w:t>
      </w:r>
      <w:r w:rsidRPr="00D605F5">
        <w:rPr>
          <w:rFonts w:ascii="Arial" w:hAnsi="Arial" w:cs="Arial"/>
        </w:rPr>
        <w:t xml:space="preserve">. It appears that there was no conclusive evidence that Donna’s alcohol misuse caused her optic nerve damage and diminished sight, but it is known that heavy drinking is a possible cause of </w:t>
      </w:r>
      <w:hyperlink r:id="rId9" w:history="1">
        <w:r w:rsidRPr="00D605F5">
          <w:rPr>
            <w:rStyle w:val="Hyperlink"/>
            <w:rFonts w:ascii="Arial" w:eastAsia="Calibri" w:hAnsi="Arial" w:cs="Arial"/>
          </w:rPr>
          <w:t>optic neuropathy</w:t>
        </w:r>
      </w:hyperlink>
      <w:r w:rsidRPr="00D605F5">
        <w:rPr>
          <w:rFonts w:ascii="Arial" w:hAnsi="Arial" w:cs="Arial"/>
        </w:rPr>
        <w:t xml:space="preserve"> and </w:t>
      </w:r>
      <w:hyperlink r:id="rId10" w:history="1">
        <w:r w:rsidRPr="00D605F5">
          <w:rPr>
            <w:rStyle w:val="Hyperlink"/>
            <w:rFonts w:ascii="Arial" w:eastAsia="Calibri" w:hAnsi="Arial" w:cs="Arial"/>
          </w:rPr>
          <w:t>other conditions</w:t>
        </w:r>
      </w:hyperlink>
      <w:r w:rsidRPr="00D605F5">
        <w:rPr>
          <w:rFonts w:ascii="Arial" w:hAnsi="Arial" w:cs="Arial"/>
        </w:rPr>
        <w:t>.</w:t>
      </w:r>
    </w:p>
    <w:p w14:paraId="6836919F" w14:textId="107D7727" w:rsidR="003746AC" w:rsidRPr="00D605F5" w:rsidRDefault="003746AC" w:rsidP="00957988">
      <w:pPr>
        <w:jc w:val="both"/>
        <w:rPr>
          <w:rFonts w:ascii="Arial" w:hAnsi="Arial" w:cs="Arial"/>
        </w:rPr>
      </w:pPr>
    </w:p>
    <w:p w14:paraId="49756277" w14:textId="0018E389" w:rsidR="003746AC" w:rsidRPr="00D605F5" w:rsidRDefault="00EE0BE9" w:rsidP="00957988">
      <w:pPr>
        <w:jc w:val="both"/>
        <w:rPr>
          <w:rFonts w:ascii="Arial" w:hAnsi="Arial" w:cs="Arial"/>
        </w:rPr>
      </w:pPr>
      <w:r w:rsidRPr="00D605F5">
        <w:rPr>
          <w:rFonts w:ascii="Arial" w:hAnsi="Arial" w:cs="Arial"/>
        </w:rPr>
        <w:t>Donna was not eating well and on 29/3/21 CGL STAR noted that Donna was underweight. A</w:t>
      </w:r>
      <w:r w:rsidR="00760446" w:rsidRPr="00D605F5">
        <w:rPr>
          <w:rFonts w:ascii="Arial" w:hAnsi="Arial" w:cs="Arial"/>
        </w:rPr>
        <w:t xml:space="preserve">dult </w:t>
      </w:r>
      <w:r w:rsidRPr="00D605F5">
        <w:rPr>
          <w:rFonts w:ascii="Arial" w:hAnsi="Arial" w:cs="Arial"/>
        </w:rPr>
        <w:t>S</w:t>
      </w:r>
      <w:r w:rsidR="00760446" w:rsidRPr="00D605F5">
        <w:rPr>
          <w:rFonts w:ascii="Arial" w:hAnsi="Arial" w:cs="Arial"/>
        </w:rPr>
        <w:t xml:space="preserve">ocial </w:t>
      </w:r>
      <w:r w:rsidRPr="00D605F5">
        <w:rPr>
          <w:rFonts w:ascii="Arial" w:hAnsi="Arial" w:cs="Arial"/>
        </w:rPr>
        <w:t>C</w:t>
      </w:r>
      <w:r w:rsidR="00760446" w:rsidRPr="00D605F5">
        <w:rPr>
          <w:rFonts w:ascii="Arial" w:hAnsi="Arial" w:cs="Arial"/>
        </w:rPr>
        <w:t>are (ASC)</w:t>
      </w:r>
      <w:r w:rsidRPr="00D605F5">
        <w:rPr>
          <w:rFonts w:ascii="Arial" w:hAnsi="Arial" w:cs="Arial"/>
        </w:rPr>
        <w:t xml:space="preserve"> also noted that she was throwing most of her food away in the last weeks of her life. A poor and meagre diet might be an example of a dependent drinker prioritising alcohol intake overeating. Other examples</w:t>
      </w:r>
      <w:r w:rsidR="002B08EF" w:rsidRPr="00D605F5">
        <w:rPr>
          <w:rFonts w:ascii="Arial" w:hAnsi="Arial" w:cs="Arial"/>
        </w:rPr>
        <w:t xml:space="preserve"> of </w:t>
      </w:r>
      <w:r w:rsidR="00D605F5" w:rsidRPr="00D605F5">
        <w:rPr>
          <w:rFonts w:ascii="Arial" w:hAnsi="Arial" w:cs="Arial"/>
        </w:rPr>
        <w:t>self-neglect</w:t>
      </w:r>
      <w:r w:rsidRPr="00D605F5">
        <w:rPr>
          <w:rFonts w:ascii="Arial" w:hAnsi="Arial" w:cs="Arial"/>
        </w:rPr>
        <w:t xml:space="preserve"> are that Donna </w:t>
      </w:r>
      <w:r w:rsidR="00600C9B" w:rsidRPr="00D605F5">
        <w:rPr>
          <w:rFonts w:ascii="Arial" w:hAnsi="Arial" w:cs="Arial"/>
        </w:rPr>
        <w:t xml:space="preserve">found it difficult </w:t>
      </w:r>
      <w:r w:rsidR="00760446" w:rsidRPr="00D605F5">
        <w:rPr>
          <w:rFonts w:ascii="Arial" w:hAnsi="Arial" w:cs="Arial"/>
        </w:rPr>
        <w:t>to</w:t>
      </w:r>
      <w:r w:rsidRPr="00D605F5">
        <w:rPr>
          <w:rFonts w:ascii="Arial" w:hAnsi="Arial" w:cs="Arial"/>
        </w:rPr>
        <w:t xml:space="preserve"> follow medical advice, for instance </w:t>
      </w:r>
      <w:r w:rsidR="00760446" w:rsidRPr="00D605F5">
        <w:rPr>
          <w:rFonts w:ascii="Arial" w:hAnsi="Arial" w:cs="Arial"/>
        </w:rPr>
        <w:t>she declined</w:t>
      </w:r>
      <w:r w:rsidRPr="00D605F5">
        <w:rPr>
          <w:rFonts w:ascii="Arial" w:hAnsi="Arial" w:cs="Arial"/>
        </w:rPr>
        <w:t xml:space="preserve"> to attend hospital when her GP called an ambulance for her concerned about Guillain-Barre Syndrome (a form of neuropathy) and Donna </w:t>
      </w:r>
      <w:r w:rsidR="00600C9B" w:rsidRPr="00D605F5">
        <w:rPr>
          <w:rFonts w:ascii="Arial" w:hAnsi="Arial" w:cs="Arial"/>
        </w:rPr>
        <w:t xml:space="preserve">did not </w:t>
      </w:r>
      <w:r w:rsidR="00760446" w:rsidRPr="00D605F5">
        <w:rPr>
          <w:rFonts w:ascii="Arial" w:hAnsi="Arial" w:cs="Arial"/>
        </w:rPr>
        <w:t xml:space="preserve">attend </w:t>
      </w:r>
      <w:r w:rsidRPr="00D605F5">
        <w:rPr>
          <w:rFonts w:ascii="Arial" w:hAnsi="Arial" w:cs="Arial"/>
        </w:rPr>
        <w:t xml:space="preserve">ophthalmic and blood test appointments. </w:t>
      </w:r>
    </w:p>
    <w:p w14:paraId="685B8DCD" w14:textId="1B5BD654" w:rsidR="00EE0BE9" w:rsidRPr="00D605F5" w:rsidRDefault="00EE0BE9" w:rsidP="00957988">
      <w:pPr>
        <w:jc w:val="both"/>
        <w:rPr>
          <w:rFonts w:ascii="Arial" w:hAnsi="Arial" w:cs="Arial"/>
        </w:rPr>
      </w:pPr>
    </w:p>
    <w:p w14:paraId="2D3A1ABA" w14:textId="024F9CEA" w:rsidR="00EE0BE9" w:rsidRPr="00D605F5" w:rsidRDefault="00EE0BE9" w:rsidP="00957988">
      <w:pPr>
        <w:jc w:val="both"/>
        <w:rPr>
          <w:rFonts w:ascii="Arial" w:hAnsi="Arial" w:cs="Arial"/>
        </w:rPr>
      </w:pPr>
      <w:r w:rsidRPr="00D605F5">
        <w:rPr>
          <w:rFonts w:ascii="Arial" w:hAnsi="Arial" w:cs="Arial"/>
          <w:color w:val="000000" w:themeColor="text1"/>
        </w:rPr>
        <w:t xml:space="preserve">Two of the safeguarding concerns sent to ASC and Children’s Services, by the police on 16/2/21 and by </w:t>
      </w:r>
      <w:r w:rsidR="00D605F5" w:rsidRPr="00D605F5">
        <w:rPr>
          <w:rFonts w:ascii="Arial" w:hAnsi="Arial" w:cs="Arial"/>
          <w:color w:val="000000" w:themeColor="text1"/>
        </w:rPr>
        <w:t>South East Coast Ambulance on</w:t>
      </w:r>
      <w:r w:rsidRPr="00D605F5">
        <w:rPr>
          <w:rFonts w:ascii="Arial" w:hAnsi="Arial" w:cs="Arial"/>
          <w:color w:val="000000" w:themeColor="text1"/>
        </w:rPr>
        <w:t xml:space="preserve"> 14/3/21, listed “self-neglect” as one of the reasons for concern. ASC rated Donna’s risk of self-neglect as low. It is not clear that services recognised that alcohol misuse can be a form of self-neglect. There </w:t>
      </w:r>
      <w:r w:rsidRPr="00D605F5">
        <w:rPr>
          <w:rFonts w:ascii="Arial" w:hAnsi="Arial" w:cs="Arial"/>
        </w:rPr>
        <w:t>should not be a need for evidence of the consequences of alcohol misuse (such as losing weight, physical harm) for agencies to intervene</w:t>
      </w:r>
      <w:r w:rsidR="0085789E" w:rsidRPr="00D605F5">
        <w:rPr>
          <w:rFonts w:ascii="Arial" w:hAnsi="Arial" w:cs="Arial"/>
        </w:rPr>
        <w:t xml:space="preserve">. </w:t>
      </w:r>
    </w:p>
    <w:p w14:paraId="2FA24282" w14:textId="7EDE39C8" w:rsidR="00AD1392" w:rsidRPr="00D605F5" w:rsidRDefault="00AD1392" w:rsidP="00957988">
      <w:pPr>
        <w:jc w:val="both"/>
        <w:rPr>
          <w:rFonts w:ascii="Arial" w:hAnsi="Arial" w:cs="Arial"/>
        </w:rPr>
      </w:pPr>
    </w:p>
    <w:p w14:paraId="2E5BB594" w14:textId="77777777" w:rsidR="00AD1392" w:rsidRPr="00D605F5" w:rsidRDefault="00AD1392" w:rsidP="00957988">
      <w:pPr>
        <w:jc w:val="both"/>
        <w:rPr>
          <w:rFonts w:ascii="Arial" w:hAnsi="Arial" w:cs="Arial"/>
        </w:rPr>
      </w:pPr>
    </w:p>
    <w:p w14:paraId="7925C310" w14:textId="0C1AD4B4" w:rsidR="00EE0BE9" w:rsidRPr="00D605F5" w:rsidRDefault="004D15EE" w:rsidP="00957988">
      <w:pPr>
        <w:jc w:val="both"/>
        <w:rPr>
          <w:rFonts w:ascii="Arial" w:hAnsi="Arial" w:cs="Arial"/>
          <w:b/>
          <w:bCs/>
          <w:i/>
          <w:iCs/>
        </w:rPr>
      </w:pPr>
      <w:r w:rsidRPr="00D605F5">
        <w:rPr>
          <w:rFonts w:ascii="Arial" w:hAnsi="Arial" w:cs="Arial"/>
          <w:b/>
          <w:bCs/>
          <w:i/>
          <w:iCs/>
          <w:color w:val="000000"/>
        </w:rPr>
        <w:t xml:space="preserve">Theme 3: </w:t>
      </w:r>
      <w:r w:rsidR="00EE0BE9" w:rsidRPr="00D605F5">
        <w:rPr>
          <w:rFonts w:ascii="Arial" w:hAnsi="Arial" w:cs="Arial"/>
          <w:b/>
          <w:bCs/>
          <w:i/>
          <w:iCs/>
        </w:rPr>
        <w:t>Exploitation</w:t>
      </w:r>
    </w:p>
    <w:p w14:paraId="6E8C92F7" w14:textId="21EEF835" w:rsidR="00EE0BE9" w:rsidRPr="00D605F5" w:rsidRDefault="00EE0BE9" w:rsidP="00957988">
      <w:pPr>
        <w:jc w:val="both"/>
        <w:rPr>
          <w:rFonts w:ascii="Arial" w:hAnsi="Arial" w:cs="Arial"/>
          <w:b/>
          <w:bCs/>
        </w:rPr>
      </w:pPr>
    </w:p>
    <w:p w14:paraId="6B0FAF94" w14:textId="75DB02B5" w:rsidR="00EE0BE9" w:rsidRPr="00D605F5" w:rsidRDefault="00EE0BE9" w:rsidP="00957988">
      <w:pPr>
        <w:jc w:val="both"/>
        <w:rPr>
          <w:rFonts w:ascii="Arial" w:hAnsi="Arial" w:cs="Arial"/>
        </w:rPr>
      </w:pPr>
      <w:r w:rsidRPr="00D605F5">
        <w:rPr>
          <w:rFonts w:ascii="Arial" w:hAnsi="Arial" w:cs="Arial"/>
        </w:rPr>
        <w:t>There is no evidence put to the SAR reviewer that Donna was exploited.</w:t>
      </w:r>
    </w:p>
    <w:p w14:paraId="1E933249" w14:textId="77777777" w:rsidR="00FE195C" w:rsidRPr="00D605F5" w:rsidRDefault="00FE195C" w:rsidP="00957988">
      <w:pPr>
        <w:jc w:val="both"/>
        <w:rPr>
          <w:rFonts w:ascii="Arial" w:hAnsi="Arial" w:cs="Arial"/>
          <w:b/>
          <w:bCs/>
        </w:rPr>
      </w:pPr>
    </w:p>
    <w:p w14:paraId="27DE4632" w14:textId="77777777" w:rsidR="00D605F5" w:rsidRDefault="00D605F5" w:rsidP="00957988">
      <w:pPr>
        <w:jc w:val="both"/>
        <w:rPr>
          <w:rFonts w:ascii="Arial" w:hAnsi="Arial" w:cs="Arial"/>
          <w:b/>
          <w:bCs/>
          <w:i/>
          <w:iCs/>
          <w:color w:val="000000"/>
        </w:rPr>
      </w:pPr>
    </w:p>
    <w:p w14:paraId="4E36C100" w14:textId="77777777" w:rsidR="00D605F5" w:rsidRDefault="00D605F5" w:rsidP="00957988">
      <w:pPr>
        <w:jc w:val="both"/>
        <w:rPr>
          <w:rFonts w:ascii="Arial" w:hAnsi="Arial" w:cs="Arial"/>
          <w:b/>
          <w:bCs/>
          <w:i/>
          <w:iCs/>
          <w:color w:val="000000"/>
        </w:rPr>
      </w:pPr>
    </w:p>
    <w:p w14:paraId="0F62D326" w14:textId="24A0F72A" w:rsidR="002F45B4" w:rsidRPr="00D605F5" w:rsidRDefault="004D15EE" w:rsidP="00957988">
      <w:pPr>
        <w:jc w:val="both"/>
        <w:rPr>
          <w:rFonts w:ascii="Arial" w:hAnsi="Arial" w:cs="Arial"/>
          <w:b/>
          <w:bCs/>
          <w:i/>
          <w:iCs/>
        </w:rPr>
      </w:pPr>
      <w:r w:rsidRPr="00D605F5">
        <w:rPr>
          <w:rFonts w:ascii="Arial" w:hAnsi="Arial" w:cs="Arial"/>
          <w:b/>
          <w:bCs/>
          <w:i/>
          <w:iCs/>
          <w:color w:val="000000"/>
        </w:rPr>
        <w:lastRenderedPageBreak/>
        <w:t xml:space="preserve">Theme 4: </w:t>
      </w:r>
      <w:r w:rsidR="002F45B4" w:rsidRPr="00D605F5">
        <w:rPr>
          <w:rFonts w:ascii="Arial" w:hAnsi="Arial" w:cs="Arial"/>
          <w:b/>
          <w:bCs/>
          <w:i/>
          <w:iCs/>
        </w:rPr>
        <w:t>Domestic and child abuse</w:t>
      </w:r>
    </w:p>
    <w:p w14:paraId="37655467" w14:textId="4563B714" w:rsidR="002F45B4" w:rsidRPr="00D605F5" w:rsidRDefault="002F45B4" w:rsidP="00957988">
      <w:pPr>
        <w:jc w:val="both"/>
        <w:rPr>
          <w:rFonts w:ascii="Arial" w:hAnsi="Arial" w:cs="Arial"/>
          <w:b/>
          <w:bCs/>
        </w:rPr>
      </w:pPr>
    </w:p>
    <w:p w14:paraId="4690FF3E" w14:textId="1B31C4F1" w:rsidR="002F45B4" w:rsidRPr="00D605F5" w:rsidRDefault="002F45B4" w:rsidP="00957988">
      <w:pPr>
        <w:jc w:val="both"/>
        <w:rPr>
          <w:rFonts w:ascii="Arial" w:hAnsi="Arial" w:cs="Arial"/>
          <w:color w:val="000000" w:themeColor="text1"/>
        </w:rPr>
      </w:pPr>
      <w:r w:rsidRPr="00D605F5">
        <w:rPr>
          <w:rFonts w:ascii="Arial" w:hAnsi="Arial" w:cs="Arial"/>
          <w:color w:val="000000" w:themeColor="text1"/>
        </w:rPr>
        <w:t>There is no evidence provided to the SAR reviewer that Donna</w:t>
      </w:r>
      <w:r w:rsidR="00A65EF7" w:rsidRPr="00D605F5">
        <w:rPr>
          <w:rFonts w:ascii="Arial" w:hAnsi="Arial" w:cs="Arial"/>
          <w:color w:val="000000" w:themeColor="text1"/>
        </w:rPr>
        <w:t xml:space="preserve"> </w:t>
      </w:r>
      <w:r w:rsidR="00AD1392" w:rsidRPr="00D605F5">
        <w:rPr>
          <w:rFonts w:ascii="Arial" w:hAnsi="Arial" w:cs="Arial"/>
          <w:color w:val="000000" w:themeColor="text1"/>
        </w:rPr>
        <w:t>was a victim of</w:t>
      </w:r>
      <w:r w:rsidR="00A65EF7" w:rsidRPr="00D605F5">
        <w:rPr>
          <w:rFonts w:ascii="Arial" w:hAnsi="Arial" w:cs="Arial"/>
          <w:color w:val="000000" w:themeColor="text1"/>
        </w:rPr>
        <w:t xml:space="preserve"> abuse </w:t>
      </w:r>
      <w:r w:rsidRPr="00D605F5">
        <w:rPr>
          <w:rFonts w:ascii="Arial" w:hAnsi="Arial" w:cs="Arial"/>
          <w:color w:val="000000" w:themeColor="text1"/>
        </w:rPr>
        <w:t>as a child. However, it is not clear whether this was ever explored with Donna. There may have been instances where Donna was the victim of domestic abuse</w:t>
      </w:r>
      <w:r w:rsidR="0085789E" w:rsidRPr="00D605F5">
        <w:rPr>
          <w:rFonts w:ascii="Arial" w:hAnsi="Arial" w:cs="Arial"/>
          <w:color w:val="000000" w:themeColor="text1"/>
        </w:rPr>
        <w:t xml:space="preserve">. </w:t>
      </w:r>
      <w:r w:rsidRPr="00D605F5">
        <w:rPr>
          <w:rFonts w:ascii="Arial" w:hAnsi="Arial" w:cs="Arial"/>
          <w:color w:val="000000" w:themeColor="text1"/>
        </w:rPr>
        <w:t>For example, it is alleged that Donna’s historical ex-partner who had come to stay with her, threw a bottle at her.</w:t>
      </w:r>
    </w:p>
    <w:p w14:paraId="700952EC" w14:textId="77777777" w:rsidR="002F45B4" w:rsidRPr="00D605F5" w:rsidRDefault="002F45B4" w:rsidP="00957988">
      <w:pPr>
        <w:jc w:val="both"/>
        <w:rPr>
          <w:rFonts w:ascii="Arial" w:hAnsi="Arial" w:cs="Arial"/>
          <w:color w:val="000000" w:themeColor="text1"/>
        </w:rPr>
      </w:pPr>
    </w:p>
    <w:p w14:paraId="481845C5" w14:textId="1846BC9B" w:rsidR="002F45B4" w:rsidRPr="00D605F5" w:rsidRDefault="004D15EE" w:rsidP="00957988">
      <w:pPr>
        <w:jc w:val="both"/>
        <w:rPr>
          <w:rFonts w:ascii="Arial" w:hAnsi="Arial" w:cs="Arial"/>
          <w:b/>
          <w:bCs/>
          <w:i/>
          <w:iCs/>
        </w:rPr>
      </w:pPr>
      <w:r w:rsidRPr="00D605F5">
        <w:rPr>
          <w:rFonts w:ascii="Arial" w:hAnsi="Arial" w:cs="Arial"/>
          <w:b/>
          <w:bCs/>
          <w:i/>
          <w:iCs/>
          <w:color w:val="000000"/>
        </w:rPr>
        <w:t xml:space="preserve">Theme 5: </w:t>
      </w:r>
      <w:r w:rsidR="002F45B4" w:rsidRPr="00D605F5">
        <w:rPr>
          <w:rFonts w:ascii="Arial" w:hAnsi="Arial" w:cs="Arial"/>
          <w:b/>
          <w:bCs/>
          <w:i/>
          <w:iCs/>
        </w:rPr>
        <w:t>Chronic health problems</w:t>
      </w:r>
    </w:p>
    <w:p w14:paraId="6639835C" w14:textId="77777777" w:rsidR="002F45B4" w:rsidRPr="00D605F5" w:rsidRDefault="002F45B4" w:rsidP="00957988">
      <w:pPr>
        <w:pStyle w:val="ListParagraph"/>
        <w:jc w:val="both"/>
        <w:rPr>
          <w:rFonts w:ascii="Arial" w:hAnsi="Arial" w:cs="Arial"/>
          <w:b/>
          <w:bCs/>
        </w:rPr>
      </w:pPr>
    </w:p>
    <w:p w14:paraId="477156BC" w14:textId="77777777" w:rsidR="002F45B4" w:rsidRPr="00D605F5" w:rsidRDefault="002F45B4" w:rsidP="00957988">
      <w:pPr>
        <w:jc w:val="both"/>
        <w:rPr>
          <w:rFonts w:ascii="Arial" w:hAnsi="Arial" w:cs="Arial"/>
          <w:color w:val="000000" w:themeColor="text1"/>
        </w:rPr>
      </w:pPr>
      <w:r w:rsidRPr="00D605F5">
        <w:rPr>
          <w:rFonts w:ascii="Arial" w:hAnsi="Arial" w:cs="Arial"/>
        </w:rPr>
        <w:t>D</w:t>
      </w:r>
      <w:r w:rsidRPr="00D605F5">
        <w:rPr>
          <w:rFonts w:ascii="Arial" w:hAnsi="Arial" w:cs="Arial"/>
          <w:color w:val="000000" w:themeColor="text1"/>
        </w:rPr>
        <w:t>onna had optic nerve damage which is irreversible, and she may have had Wernicke-Korsakoff syndrome.</w:t>
      </w:r>
    </w:p>
    <w:p w14:paraId="7EC47396" w14:textId="3C79F42B" w:rsidR="002F45B4" w:rsidRPr="00D605F5" w:rsidRDefault="002F45B4" w:rsidP="00957988">
      <w:pPr>
        <w:jc w:val="both"/>
        <w:rPr>
          <w:rFonts w:ascii="Arial" w:hAnsi="Arial" w:cs="Arial"/>
          <w:color w:val="000000" w:themeColor="text1"/>
        </w:rPr>
      </w:pPr>
      <w:r w:rsidRPr="00D605F5">
        <w:rPr>
          <w:rFonts w:ascii="Arial" w:hAnsi="Arial" w:cs="Arial"/>
          <w:color w:val="000000" w:themeColor="text1"/>
        </w:rPr>
        <w:t xml:space="preserve"> </w:t>
      </w:r>
    </w:p>
    <w:p w14:paraId="36CEF7BB" w14:textId="281373EB" w:rsidR="002F45B4" w:rsidRPr="00D605F5" w:rsidRDefault="004D15EE" w:rsidP="00957988">
      <w:pPr>
        <w:jc w:val="both"/>
        <w:rPr>
          <w:rFonts w:ascii="Arial" w:hAnsi="Arial" w:cs="Arial"/>
          <w:b/>
          <w:bCs/>
          <w:i/>
          <w:iCs/>
        </w:rPr>
      </w:pPr>
      <w:r w:rsidRPr="00D605F5">
        <w:rPr>
          <w:rFonts w:ascii="Arial" w:hAnsi="Arial" w:cs="Arial"/>
          <w:b/>
          <w:bCs/>
          <w:i/>
          <w:iCs/>
          <w:color w:val="000000"/>
        </w:rPr>
        <w:t xml:space="preserve">Theme 6: </w:t>
      </w:r>
      <w:r w:rsidR="002F45B4" w:rsidRPr="00D605F5">
        <w:rPr>
          <w:rFonts w:ascii="Arial" w:hAnsi="Arial" w:cs="Arial"/>
          <w:b/>
          <w:bCs/>
          <w:i/>
          <w:iCs/>
        </w:rPr>
        <w:t>Mental health problems</w:t>
      </w:r>
    </w:p>
    <w:p w14:paraId="3D028F9C" w14:textId="77777777" w:rsidR="002F45B4" w:rsidRPr="00D605F5" w:rsidRDefault="002F45B4" w:rsidP="00957988">
      <w:pPr>
        <w:pStyle w:val="ListParagraph"/>
        <w:jc w:val="both"/>
        <w:rPr>
          <w:rFonts w:ascii="Arial" w:hAnsi="Arial" w:cs="Arial"/>
        </w:rPr>
      </w:pPr>
    </w:p>
    <w:p w14:paraId="2D98E38C" w14:textId="1A2F8E7D" w:rsidR="002F45B4" w:rsidRPr="00D605F5" w:rsidRDefault="002F45B4" w:rsidP="00957988">
      <w:pPr>
        <w:jc w:val="both"/>
        <w:rPr>
          <w:rFonts w:ascii="Arial" w:hAnsi="Arial" w:cs="Arial"/>
        </w:rPr>
      </w:pPr>
      <w:r w:rsidRPr="00D605F5">
        <w:rPr>
          <w:rFonts w:ascii="Arial" w:hAnsi="Arial" w:cs="Arial"/>
        </w:rPr>
        <w:t>In August 2020 CGL STAR noted that Donna’s mental health was deteriorating, and her alcohol intake was increasing. Practitioners believed that the loss of her job, the breakup with her partner and separation from her family caused Donna’s mental health to deteriorate substantially.</w:t>
      </w:r>
    </w:p>
    <w:p w14:paraId="2D7A1885" w14:textId="400B6841" w:rsidR="002F45B4" w:rsidRPr="00D605F5" w:rsidRDefault="002F45B4" w:rsidP="00957988">
      <w:pPr>
        <w:jc w:val="both"/>
        <w:rPr>
          <w:rFonts w:ascii="Arial" w:hAnsi="Arial" w:cs="Arial"/>
        </w:rPr>
      </w:pPr>
    </w:p>
    <w:p w14:paraId="26CBB899" w14:textId="5E99DB88" w:rsidR="002F45B4" w:rsidRPr="00D605F5" w:rsidRDefault="004D15EE" w:rsidP="00957988">
      <w:pPr>
        <w:jc w:val="both"/>
        <w:rPr>
          <w:rFonts w:ascii="Arial" w:hAnsi="Arial" w:cs="Arial"/>
          <w:b/>
          <w:bCs/>
          <w:i/>
          <w:iCs/>
        </w:rPr>
      </w:pPr>
      <w:r w:rsidRPr="00D605F5">
        <w:rPr>
          <w:rFonts w:ascii="Arial" w:hAnsi="Arial" w:cs="Arial"/>
          <w:b/>
          <w:bCs/>
          <w:i/>
          <w:iCs/>
          <w:color w:val="000000"/>
        </w:rPr>
        <w:t xml:space="preserve">Theme 7: </w:t>
      </w:r>
      <w:r w:rsidR="002F45B4" w:rsidRPr="00D605F5">
        <w:rPr>
          <w:rFonts w:ascii="Arial" w:hAnsi="Arial" w:cs="Arial"/>
          <w:b/>
          <w:bCs/>
          <w:i/>
          <w:iCs/>
        </w:rPr>
        <w:t xml:space="preserve">Traumatic events triggering alcohol </w:t>
      </w:r>
      <w:r w:rsidR="00D605F5" w:rsidRPr="00D605F5">
        <w:rPr>
          <w:rFonts w:ascii="Arial" w:hAnsi="Arial" w:cs="Arial"/>
          <w:b/>
          <w:bCs/>
          <w:i/>
          <w:iCs/>
        </w:rPr>
        <w:t>intake.</w:t>
      </w:r>
    </w:p>
    <w:p w14:paraId="707589B0" w14:textId="77777777" w:rsidR="002F45B4" w:rsidRPr="00D605F5" w:rsidRDefault="002F45B4" w:rsidP="00957988">
      <w:pPr>
        <w:pStyle w:val="ListParagraph"/>
        <w:jc w:val="both"/>
        <w:rPr>
          <w:rFonts w:ascii="Arial" w:hAnsi="Arial" w:cs="Arial"/>
          <w:b/>
          <w:bCs/>
        </w:rPr>
      </w:pPr>
    </w:p>
    <w:p w14:paraId="68302969" w14:textId="3DF2BA12" w:rsidR="002F45B4" w:rsidRPr="00D605F5" w:rsidRDefault="002F45B4" w:rsidP="00957988">
      <w:pPr>
        <w:jc w:val="both"/>
        <w:rPr>
          <w:rFonts w:ascii="Arial" w:hAnsi="Arial" w:cs="Arial"/>
        </w:rPr>
      </w:pPr>
      <w:r w:rsidRPr="00D605F5">
        <w:rPr>
          <w:rFonts w:ascii="Arial" w:hAnsi="Arial" w:cs="Arial"/>
        </w:rPr>
        <w:t>Practitioners believed that the traumatic events of job loss, relationship breakdown and family separation were triggers for Donna’s increased alcohol intake. However, it was clear that alcohol had been a factor for the duration of Donna’s relationship with her most recent partner</w:t>
      </w:r>
      <w:r w:rsidR="00A65EF7" w:rsidRPr="00D605F5">
        <w:rPr>
          <w:rFonts w:ascii="Arial" w:hAnsi="Arial" w:cs="Arial"/>
        </w:rPr>
        <w:t>.</w:t>
      </w:r>
      <w:r w:rsidRPr="00D605F5">
        <w:rPr>
          <w:rFonts w:ascii="Arial" w:hAnsi="Arial" w:cs="Arial"/>
        </w:rPr>
        <w:t xml:space="preserve"> Traumatic events prior to their relationship commencing may have triggered high levels of drinking. </w:t>
      </w:r>
    </w:p>
    <w:p w14:paraId="481370F0" w14:textId="2CE0908A" w:rsidR="002F45B4" w:rsidRPr="00D605F5" w:rsidRDefault="002F45B4" w:rsidP="00957988">
      <w:pPr>
        <w:jc w:val="both"/>
        <w:rPr>
          <w:rFonts w:ascii="Arial" w:hAnsi="Arial" w:cs="Arial"/>
        </w:rPr>
      </w:pPr>
    </w:p>
    <w:p w14:paraId="5A27BE2E" w14:textId="5A64C778" w:rsidR="002F45B4" w:rsidRPr="00D605F5" w:rsidRDefault="004D15EE" w:rsidP="00957988">
      <w:pPr>
        <w:jc w:val="both"/>
        <w:rPr>
          <w:rFonts w:ascii="Arial" w:hAnsi="Arial" w:cs="Arial"/>
          <w:b/>
          <w:bCs/>
          <w:i/>
          <w:iCs/>
        </w:rPr>
      </w:pPr>
      <w:r w:rsidRPr="00D605F5">
        <w:rPr>
          <w:rFonts w:ascii="Arial" w:hAnsi="Arial" w:cs="Arial"/>
          <w:b/>
          <w:bCs/>
          <w:i/>
          <w:iCs/>
          <w:color w:val="000000"/>
        </w:rPr>
        <w:t xml:space="preserve">Theme 8: </w:t>
      </w:r>
      <w:r w:rsidR="002F45B4" w:rsidRPr="00D605F5">
        <w:rPr>
          <w:rFonts w:ascii="Arial" w:hAnsi="Arial" w:cs="Arial"/>
          <w:b/>
          <w:bCs/>
          <w:i/>
          <w:iCs/>
        </w:rPr>
        <w:t>Variable family involvement</w:t>
      </w:r>
    </w:p>
    <w:p w14:paraId="693C3530" w14:textId="45D15B1D" w:rsidR="002F45B4" w:rsidRPr="00D605F5" w:rsidRDefault="002F45B4" w:rsidP="00957988">
      <w:pPr>
        <w:jc w:val="both"/>
        <w:rPr>
          <w:rFonts w:ascii="Arial" w:hAnsi="Arial" w:cs="Arial"/>
          <w:b/>
          <w:bCs/>
        </w:rPr>
      </w:pPr>
    </w:p>
    <w:p w14:paraId="7A4F798C" w14:textId="02FC9641" w:rsidR="002F45B4" w:rsidRPr="00D605F5" w:rsidRDefault="002F45B4" w:rsidP="00957988">
      <w:pPr>
        <w:jc w:val="both"/>
        <w:rPr>
          <w:rFonts w:ascii="Arial" w:hAnsi="Arial" w:cs="Arial"/>
        </w:rPr>
      </w:pPr>
      <w:r w:rsidRPr="00D605F5">
        <w:rPr>
          <w:rFonts w:ascii="Arial" w:hAnsi="Arial" w:cs="Arial"/>
        </w:rPr>
        <w:t>Donna’s daughter was Donna’s carer for the last six months of her life.</w:t>
      </w:r>
    </w:p>
    <w:p w14:paraId="2F1CF815" w14:textId="05660784" w:rsidR="002F45B4" w:rsidRPr="00D605F5" w:rsidRDefault="002F45B4" w:rsidP="00957988">
      <w:pPr>
        <w:jc w:val="both"/>
        <w:rPr>
          <w:rFonts w:ascii="Arial" w:hAnsi="Arial" w:cs="Arial"/>
        </w:rPr>
      </w:pPr>
    </w:p>
    <w:p w14:paraId="3C3EE445" w14:textId="770EC650" w:rsidR="00600C5C" w:rsidRPr="00D605F5" w:rsidRDefault="00600C5C" w:rsidP="00957988">
      <w:pPr>
        <w:jc w:val="both"/>
        <w:rPr>
          <w:rFonts w:ascii="Arial" w:hAnsi="Arial" w:cs="Arial"/>
        </w:rPr>
      </w:pPr>
      <w:r w:rsidRPr="00D605F5">
        <w:rPr>
          <w:rFonts w:ascii="Arial" w:hAnsi="Arial" w:cs="Arial"/>
        </w:rPr>
        <w:t>After Donna’s partner had moved out, he offered to return to support Donna to detoxify at home. Once the original plan to detox</w:t>
      </w:r>
      <w:r w:rsidR="002B08EF" w:rsidRPr="00D605F5">
        <w:rPr>
          <w:rFonts w:ascii="Arial" w:hAnsi="Arial" w:cs="Arial"/>
        </w:rPr>
        <w:t>ify</w:t>
      </w:r>
      <w:r w:rsidRPr="00D605F5">
        <w:rPr>
          <w:rFonts w:ascii="Arial" w:hAnsi="Arial" w:cs="Arial"/>
        </w:rPr>
        <w:t xml:space="preserve"> at home was not thought appropriate, it is not clear whether agencies engaged with Donna’s ex-partner to explore how his offer of support could have been utilised in a different way</w:t>
      </w:r>
      <w:r w:rsidR="0085789E" w:rsidRPr="00D605F5">
        <w:rPr>
          <w:rFonts w:ascii="Arial" w:hAnsi="Arial" w:cs="Arial"/>
        </w:rPr>
        <w:t xml:space="preserve">. </w:t>
      </w:r>
    </w:p>
    <w:p w14:paraId="21061889" w14:textId="01E80F1F" w:rsidR="00FA3329" w:rsidRPr="00D605F5" w:rsidRDefault="00FA3329" w:rsidP="00957988">
      <w:pPr>
        <w:jc w:val="both"/>
        <w:rPr>
          <w:rFonts w:ascii="Arial" w:hAnsi="Arial" w:cs="Arial"/>
        </w:rPr>
      </w:pPr>
    </w:p>
    <w:p w14:paraId="7581C405" w14:textId="101E3B7D" w:rsidR="00FA3329" w:rsidRPr="00D605F5" w:rsidRDefault="00FA3329" w:rsidP="00957988">
      <w:pPr>
        <w:jc w:val="both"/>
        <w:rPr>
          <w:rFonts w:ascii="Arial" w:hAnsi="Arial" w:cs="Arial"/>
        </w:rPr>
      </w:pPr>
      <w:r w:rsidRPr="00D605F5">
        <w:rPr>
          <w:rFonts w:ascii="Arial" w:hAnsi="Arial" w:cs="Arial"/>
        </w:rPr>
        <w:t xml:space="preserve">Donna’s mother was also identified as a source of support. Donna went to stay with her out of the area at the end of April 2021. There is, however, no evidence that Donna’s mother was contacted as part of Donna’s care and support needs assessment. </w:t>
      </w:r>
      <w:r w:rsidRPr="00D605F5">
        <w:rPr>
          <w:rFonts w:ascii="Arial" w:hAnsi="Arial" w:cs="Arial"/>
          <w:color w:val="000000" w:themeColor="text1"/>
        </w:rPr>
        <w:t xml:space="preserve">It is possible that Donna specifically refused to allow ASC to contact her mother. There </w:t>
      </w:r>
      <w:r w:rsidRPr="00D605F5">
        <w:rPr>
          <w:rFonts w:ascii="Arial" w:hAnsi="Arial" w:cs="Arial"/>
        </w:rPr>
        <w:t>was also a report that Donna may have had an argument with her mother, following which she returned home.</w:t>
      </w:r>
    </w:p>
    <w:p w14:paraId="3E98D973" w14:textId="57160F33" w:rsidR="00FA3329" w:rsidRPr="00D605F5" w:rsidRDefault="00FA3329" w:rsidP="00957988">
      <w:pPr>
        <w:jc w:val="both"/>
        <w:rPr>
          <w:rFonts w:ascii="Arial" w:hAnsi="Arial" w:cs="Arial"/>
        </w:rPr>
      </w:pPr>
    </w:p>
    <w:p w14:paraId="151E1B32" w14:textId="118EE2D1" w:rsidR="00FA3329" w:rsidRPr="00D605F5" w:rsidRDefault="00FA3329" w:rsidP="00957988">
      <w:pPr>
        <w:jc w:val="both"/>
        <w:rPr>
          <w:rFonts w:ascii="Arial" w:hAnsi="Arial" w:cs="Arial"/>
        </w:rPr>
      </w:pPr>
      <w:r w:rsidRPr="00D605F5">
        <w:rPr>
          <w:rFonts w:ascii="Arial" w:hAnsi="Arial" w:cs="Arial"/>
        </w:rPr>
        <w:t xml:space="preserve">In summary, there was frequent family involvement with services, especially by Children’s Services. However, Donna’s relationship with her family was breaking down and, and it seems this, together with the loss of her job, </w:t>
      </w:r>
      <w:r w:rsidR="004573F0" w:rsidRPr="00D605F5">
        <w:rPr>
          <w:rFonts w:ascii="Arial" w:hAnsi="Arial" w:cs="Arial"/>
        </w:rPr>
        <w:t xml:space="preserve">this </w:t>
      </w:r>
      <w:r w:rsidRPr="00D605F5">
        <w:rPr>
          <w:rFonts w:ascii="Arial" w:hAnsi="Arial" w:cs="Arial"/>
        </w:rPr>
        <w:t>led to a deterioration of Donna’s mental health and an increase in alcohol intake.</w:t>
      </w:r>
    </w:p>
    <w:p w14:paraId="0451F5B7" w14:textId="77777777" w:rsidR="00FA3329" w:rsidRPr="00D605F5" w:rsidRDefault="00FA3329" w:rsidP="00957988">
      <w:pPr>
        <w:jc w:val="both"/>
        <w:rPr>
          <w:rFonts w:ascii="Arial" w:hAnsi="Arial" w:cs="Arial"/>
        </w:rPr>
      </w:pPr>
    </w:p>
    <w:p w14:paraId="0AB1B560" w14:textId="27F9BA84" w:rsidR="00F13AD5" w:rsidRPr="00D605F5" w:rsidRDefault="004D15EE" w:rsidP="00957988">
      <w:pPr>
        <w:jc w:val="both"/>
        <w:rPr>
          <w:rFonts w:ascii="Arial" w:hAnsi="Arial" w:cs="Arial"/>
          <w:b/>
          <w:bCs/>
          <w:i/>
          <w:iCs/>
        </w:rPr>
      </w:pPr>
      <w:r w:rsidRPr="00D605F5">
        <w:rPr>
          <w:rFonts w:ascii="Arial" w:hAnsi="Arial" w:cs="Arial"/>
          <w:b/>
          <w:bCs/>
          <w:i/>
          <w:iCs/>
          <w:color w:val="000000"/>
        </w:rPr>
        <w:lastRenderedPageBreak/>
        <w:t xml:space="preserve">Theme 9: </w:t>
      </w:r>
      <w:r w:rsidR="00F13AD5" w:rsidRPr="00D605F5">
        <w:rPr>
          <w:rFonts w:ascii="Arial" w:hAnsi="Arial" w:cs="Arial"/>
          <w:b/>
          <w:bCs/>
          <w:i/>
          <w:iCs/>
        </w:rPr>
        <w:t xml:space="preserve">High levels of alcohol intake and over-reliance on alcohol use to explain Donna’s </w:t>
      </w:r>
      <w:r w:rsidR="00D605F5" w:rsidRPr="00D605F5">
        <w:rPr>
          <w:rFonts w:ascii="Arial" w:hAnsi="Arial" w:cs="Arial"/>
          <w:b/>
          <w:bCs/>
          <w:i/>
          <w:iCs/>
        </w:rPr>
        <w:t>presentation.</w:t>
      </w:r>
    </w:p>
    <w:p w14:paraId="3FEB04F6" w14:textId="362A2E21" w:rsidR="00F13AD5" w:rsidRPr="00D605F5" w:rsidRDefault="00F13AD5" w:rsidP="00957988">
      <w:pPr>
        <w:jc w:val="both"/>
        <w:rPr>
          <w:rFonts w:ascii="Arial" w:hAnsi="Arial" w:cs="Arial"/>
          <w:b/>
          <w:bCs/>
        </w:rPr>
      </w:pPr>
    </w:p>
    <w:p w14:paraId="5189C0BF" w14:textId="77777777" w:rsidR="00F13AD5" w:rsidRPr="00D605F5" w:rsidRDefault="00F13AD5" w:rsidP="00957988">
      <w:pPr>
        <w:jc w:val="both"/>
        <w:rPr>
          <w:rFonts w:ascii="Arial" w:hAnsi="Arial" w:cs="Arial"/>
        </w:rPr>
      </w:pPr>
      <w:r w:rsidRPr="00D605F5">
        <w:rPr>
          <w:rFonts w:ascii="Arial" w:hAnsi="Arial" w:cs="Arial"/>
        </w:rPr>
        <w:t xml:space="preserve">All the evidence from agencies suggested that Donna was drinking high levels of alcohol and that she may have under-reported her consumption. On the day of her death the ambulance crew noted evidence of haematemesis/melaena (gastrointestinal bleeding) on Donna’s body and the coroner determined an unexplained death from alcohol misuse. </w:t>
      </w:r>
    </w:p>
    <w:p w14:paraId="2CB43C4D" w14:textId="77777777" w:rsidR="00F13AD5" w:rsidRPr="00D605F5" w:rsidRDefault="00F13AD5" w:rsidP="00957988">
      <w:pPr>
        <w:pStyle w:val="ListParagraph"/>
        <w:jc w:val="both"/>
        <w:rPr>
          <w:rFonts w:ascii="Arial" w:hAnsi="Arial" w:cs="Arial"/>
        </w:rPr>
      </w:pPr>
    </w:p>
    <w:p w14:paraId="197A1271" w14:textId="4AA370C1" w:rsidR="00F13AD5" w:rsidRPr="00D605F5" w:rsidRDefault="00F13AD5" w:rsidP="00957988">
      <w:pPr>
        <w:jc w:val="both"/>
        <w:rPr>
          <w:rFonts w:ascii="Arial" w:hAnsi="Arial" w:cs="Arial"/>
        </w:rPr>
      </w:pPr>
      <w:r w:rsidRPr="00D605F5">
        <w:rPr>
          <w:rFonts w:ascii="Arial" w:hAnsi="Arial" w:cs="Arial"/>
        </w:rPr>
        <w:t>There does not appear to be any evidence that there was an over-reliance by practitioners on alcohol to explain Donna’s presentation, but there was no mental health assessment, or referral to mental health services, and this may have been a missed opportunity to identify and meet Donna’s complex care needs.</w:t>
      </w:r>
    </w:p>
    <w:p w14:paraId="7B2977BF" w14:textId="00E3E036" w:rsidR="00F13AD5" w:rsidRPr="00D605F5" w:rsidRDefault="00F13AD5" w:rsidP="00957988">
      <w:pPr>
        <w:jc w:val="both"/>
        <w:rPr>
          <w:rFonts w:ascii="Arial" w:hAnsi="Arial" w:cs="Arial"/>
        </w:rPr>
      </w:pPr>
    </w:p>
    <w:p w14:paraId="7CE45802" w14:textId="2422EEE5" w:rsidR="00F13AD5" w:rsidRPr="00D605F5" w:rsidRDefault="004D15EE" w:rsidP="00957988">
      <w:pPr>
        <w:jc w:val="both"/>
        <w:rPr>
          <w:rFonts w:ascii="Arial" w:hAnsi="Arial" w:cs="Arial"/>
          <w:b/>
          <w:bCs/>
          <w:i/>
          <w:iCs/>
        </w:rPr>
      </w:pPr>
      <w:r w:rsidRPr="00D605F5">
        <w:rPr>
          <w:rFonts w:ascii="Arial" w:hAnsi="Arial" w:cs="Arial"/>
          <w:b/>
          <w:bCs/>
          <w:i/>
          <w:iCs/>
          <w:color w:val="000000"/>
        </w:rPr>
        <w:t xml:space="preserve">Theme 10: </w:t>
      </w:r>
      <w:r w:rsidR="00F13AD5" w:rsidRPr="00D605F5">
        <w:rPr>
          <w:rFonts w:ascii="Arial" w:hAnsi="Arial" w:cs="Arial"/>
          <w:b/>
          <w:bCs/>
          <w:i/>
          <w:iCs/>
        </w:rPr>
        <w:t>Regular contact with ambulance services</w:t>
      </w:r>
    </w:p>
    <w:p w14:paraId="4F508B62" w14:textId="60002091" w:rsidR="00F13AD5" w:rsidRPr="00D605F5" w:rsidRDefault="00F13AD5" w:rsidP="00957988">
      <w:pPr>
        <w:jc w:val="both"/>
        <w:rPr>
          <w:rFonts w:ascii="Arial" w:hAnsi="Arial" w:cs="Arial"/>
          <w:b/>
          <w:bCs/>
        </w:rPr>
      </w:pPr>
    </w:p>
    <w:p w14:paraId="1EA327B4" w14:textId="7209495E" w:rsidR="00F13AD5" w:rsidRPr="00D605F5" w:rsidRDefault="00F13AD5" w:rsidP="00957988">
      <w:pPr>
        <w:jc w:val="both"/>
        <w:rPr>
          <w:rFonts w:ascii="Arial" w:hAnsi="Arial" w:cs="Arial"/>
        </w:rPr>
      </w:pPr>
      <w:r w:rsidRPr="00D605F5">
        <w:rPr>
          <w:rFonts w:ascii="Arial" w:hAnsi="Arial" w:cs="Arial"/>
        </w:rPr>
        <w:t xml:space="preserve">During the last 12 months of Donna’s life the ambulance service was called six times (excluding the day she died), mainly by Donna’s family and once by Donna’s GP. On the five occasions that calls were made by a member of Donna’s family, </w:t>
      </w:r>
      <w:r w:rsidR="00A67416" w:rsidRPr="00D605F5">
        <w:rPr>
          <w:rFonts w:ascii="Arial" w:hAnsi="Arial" w:cs="Arial"/>
        </w:rPr>
        <w:t>SECamb</w:t>
      </w:r>
      <w:r w:rsidRPr="00D605F5">
        <w:rPr>
          <w:rFonts w:ascii="Arial" w:hAnsi="Arial" w:cs="Arial"/>
        </w:rPr>
        <w:t xml:space="preserve"> made safeguarding referrals to ASC, concerned for Donna and/or for the effect of Donna’s behaviour on her family. </w:t>
      </w:r>
    </w:p>
    <w:p w14:paraId="40A5B193" w14:textId="2F9A337D" w:rsidR="00FE195C" w:rsidRPr="00D605F5" w:rsidRDefault="00FE195C" w:rsidP="00957988">
      <w:pPr>
        <w:jc w:val="both"/>
        <w:rPr>
          <w:rFonts w:ascii="Arial" w:hAnsi="Arial" w:cs="Arial"/>
        </w:rPr>
      </w:pPr>
    </w:p>
    <w:p w14:paraId="0445B8DE" w14:textId="15860851" w:rsidR="00FE195C" w:rsidRPr="00D605F5" w:rsidRDefault="004D15EE" w:rsidP="00957988">
      <w:pPr>
        <w:jc w:val="both"/>
        <w:rPr>
          <w:rFonts w:ascii="Arial" w:hAnsi="Arial" w:cs="Arial"/>
          <w:b/>
          <w:bCs/>
          <w:i/>
          <w:iCs/>
        </w:rPr>
      </w:pPr>
      <w:r w:rsidRPr="00D605F5">
        <w:rPr>
          <w:rFonts w:ascii="Arial" w:hAnsi="Arial" w:cs="Arial"/>
          <w:b/>
          <w:bCs/>
          <w:i/>
          <w:iCs/>
          <w:color w:val="000000"/>
        </w:rPr>
        <w:t xml:space="preserve">Theme 11: </w:t>
      </w:r>
      <w:r w:rsidR="00FE195C" w:rsidRPr="00D605F5">
        <w:rPr>
          <w:rFonts w:ascii="Arial" w:hAnsi="Arial" w:cs="Arial"/>
          <w:b/>
          <w:bCs/>
          <w:i/>
          <w:iCs/>
        </w:rPr>
        <w:t>Unpopularity with the local community or concerned neighbours.</w:t>
      </w:r>
    </w:p>
    <w:p w14:paraId="01D1BF58" w14:textId="77777777" w:rsidR="00FE195C" w:rsidRPr="00D605F5" w:rsidRDefault="00FE195C" w:rsidP="00957988">
      <w:pPr>
        <w:pStyle w:val="ListParagraph"/>
        <w:jc w:val="both"/>
        <w:rPr>
          <w:rFonts w:ascii="Arial" w:hAnsi="Arial" w:cs="Arial"/>
        </w:rPr>
      </w:pPr>
    </w:p>
    <w:p w14:paraId="66A64A44" w14:textId="77777777" w:rsidR="00FE195C" w:rsidRPr="00D605F5" w:rsidRDefault="00FE195C" w:rsidP="00957988">
      <w:pPr>
        <w:jc w:val="both"/>
        <w:rPr>
          <w:rFonts w:ascii="Arial" w:hAnsi="Arial" w:cs="Arial"/>
        </w:rPr>
      </w:pPr>
      <w:r w:rsidRPr="00D605F5">
        <w:rPr>
          <w:rFonts w:ascii="Arial" w:hAnsi="Arial" w:cs="Arial"/>
        </w:rPr>
        <w:t xml:space="preserve">There is no evidence to suggest that Donna’s behaviour was affecting the local population or attracting bad comment from neighbours. </w:t>
      </w:r>
    </w:p>
    <w:p w14:paraId="49B60924" w14:textId="610C4057" w:rsidR="00FE195C" w:rsidRPr="00D605F5" w:rsidRDefault="00FE195C" w:rsidP="00957988">
      <w:pPr>
        <w:jc w:val="both"/>
        <w:rPr>
          <w:rFonts w:ascii="Arial" w:hAnsi="Arial" w:cs="Arial"/>
        </w:rPr>
      </w:pPr>
    </w:p>
    <w:p w14:paraId="09744A79" w14:textId="48136A01" w:rsidR="00FE195C" w:rsidRPr="00D605F5" w:rsidRDefault="00FE195C" w:rsidP="00957988">
      <w:pPr>
        <w:jc w:val="both"/>
        <w:rPr>
          <w:rFonts w:ascii="Arial" w:hAnsi="Arial" w:cs="Arial"/>
        </w:rPr>
      </w:pPr>
      <w:r w:rsidRPr="00D605F5">
        <w:rPr>
          <w:rFonts w:ascii="Arial" w:hAnsi="Arial" w:cs="Arial"/>
        </w:rPr>
        <w:t>In summary, of the eleven factors listed above at least nine applied to Donna</w:t>
      </w:r>
      <w:r w:rsidR="00A67416" w:rsidRPr="00D605F5">
        <w:rPr>
          <w:rFonts w:ascii="Arial" w:hAnsi="Arial" w:cs="Arial"/>
        </w:rPr>
        <w:t xml:space="preserve">. </w:t>
      </w:r>
      <w:r w:rsidRPr="00D605F5">
        <w:rPr>
          <w:rFonts w:ascii="Arial" w:hAnsi="Arial" w:cs="Arial"/>
        </w:rPr>
        <w:t xml:space="preserve">This pattern of circumstances might be predictive of poor outcomes unless different approaches are taken. In consequence, services should consider how the presence of this pattern of characteristics might be identified in the future and how this might lead to interventions that result in better outcomes. </w:t>
      </w:r>
    </w:p>
    <w:p w14:paraId="2E0D2F0F" w14:textId="77777777" w:rsidR="00FE195C" w:rsidRPr="00D605F5" w:rsidRDefault="00FE195C" w:rsidP="00957988">
      <w:pPr>
        <w:jc w:val="both"/>
        <w:rPr>
          <w:rFonts w:ascii="Arial" w:hAnsi="Arial" w:cs="Arial"/>
        </w:rPr>
      </w:pPr>
    </w:p>
    <w:p w14:paraId="0B387CE3" w14:textId="77777777" w:rsidR="00F13AD5" w:rsidRPr="00D605F5" w:rsidRDefault="00F13AD5" w:rsidP="00957988">
      <w:pPr>
        <w:jc w:val="both"/>
        <w:rPr>
          <w:rFonts w:ascii="Arial" w:hAnsi="Arial" w:cs="Arial"/>
          <w:b/>
          <w:bCs/>
        </w:rPr>
      </w:pPr>
    </w:p>
    <w:p w14:paraId="008353F4" w14:textId="6F3B2A8E" w:rsidR="00D33276" w:rsidRPr="00D605F5" w:rsidRDefault="00D33276" w:rsidP="000032D4">
      <w:pPr>
        <w:pStyle w:val="Heading1"/>
        <w:numPr>
          <w:ilvl w:val="0"/>
          <w:numId w:val="10"/>
        </w:numPr>
        <w:jc w:val="both"/>
        <w:rPr>
          <w:rFonts w:ascii="Arial" w:hAnsi="Arial" w:cs="Arial"/>
          <w:sz w:val="24"/>
          <w:szCs w:val="24"/>
          <w:u w:val="single"/>
        </w:rPr>
      </w:pPr>
      <w:bookmarkStart w:id="2" w:name="_Toc147494557"/>
      <w:r w:rsidRPr="00D605F5">
        <w:rPr>
          <w:rFonts w:ascii="Arial" w:hAnsi="Arial" w:cs="Arial"/>
          <w:sz w:val="24"/>
          <w:szCs w:val="24"/>
          <w:u w:val="single"/>
        </w:rPr>
        <w:t>Emerging Issues and Learning</w:t>
      </w:r>
      <w:bookmarkEnd w:id="2"/>
      <w:r w:rsidRPr="00D605F5">
        <w:rPr>
          <w:rFonts w:ascii="Arial" w:hAnsi="Arial" w:cs="Arial"/>
          <w:sz w:val="24"/>
          <w:szCs w:val="24"/>
          <w:u w:val="single"/>
        </w:rPr>
        <w:t xml:space="preserve"> </w:t>
      </w:r>
    </w:p>
    <w:p w14:paraId="144431A5" w14:textId="17313AA5" w:rsidR="00D33276" w:rsidRPr="00D605F5" w:rsidRDefault="00D33276" w:rsidP="00957988">
      <w:pPr>
        <w:jc w:val="both"/>
        <w:rPr>
          <w:rFonts w:ascii="Arial" w:hAnsi="Arial" w:cs="Arial"/>
          <w:lang w:eastAsia="en-GB"/>
        </w:rPr>
      </w:pPr>
    </w:p>
    <w:p w14:paraId="56A38C27" w14:textId="02453E5B" w:rsidR="00D33276" w:rsidRPr="00D605F5" w:rsidRDefault="00D33276" w:rsidP="00957988">
      <w:pPr>
        <w:jc w:val="both"/>
        <w:rPr>
          <w:rFonts w:ascii="Arial" w:hAnsi="Arial" w:cs="Arial"/>
          <w:i/>
          <w:iCs/>
        </w:rPr>
      </w:pPr>
      <w:r w:rsidRPr="00D605F5">
        <w:rPr>
          <w:rFonts w:ascii="Arial" w:hAnsi="Arial" w:cs="Arial"/>
          <w:b/>
          <w:bCs/>
          <w:i/>
          <w:iCs/>
        </w:rPr>
        <w:t>Mental Capacity</w:t>
      </w:r>
    </w:p>
    <w:p w14:paraId="3575EB99" w14:textId="07DC0B74" w:rsidR="00D33276" w:rsidRPr="00D605F5" w:rsidRDefault="00D33276" w:rsidP="00957988">
      <w:pPr>
        <w:jc w:val="both"/>
        <w:rPr>
          <w:rFonts w:ascii="Arial" w:hAnsi="Arial" w:cs="Arial"/>
        </w:rPr>
      </w:pPr>
    </w:p>
    <w:p w14:paraId="1FB01478" w14:textId="3EFB941F" w:rsidR="00D33276" w:rsidRPr="00D605F5" w:rsidRDefault="00D33276" w:rsidP="00957988">
      <w:pPr>
        <w:jc w:val="both"/>
        <w:rPr>
          <w:rFonts w:ascii="Arial" w:hAnsi="Arial" w:cs="Arial"/>
        </w:rPr>
      </w:pPr>
      <w:r w:rsidRPr="00D605F5">
        <w:rPr>
          <w:rFonts w:ascii="Arial" w:hAnsi="Arial" w:cs="Arial"/>
        </w:rPr>
        <w:t>Donna was assumed to have mental capacity. It appears her mental capacity was never formally assessed.</w:t>
      </w:r>
    </w:p>
    <w:p w14:paraId="546E4114" w14:textId="24C3719C" w:rsidR="00D33276" w:rsidRPr="00D605F5" w:rsidRDefault="00D33276" w:rsidP="00957988">
      <w:pPr>
        <w:jc w:val="both"/>
        <w:rPr>
          <w:rFonts w:ascii="Arial" w:hAnsi="Arial" w:cs="Arial"/>
        </w:rPr>
      </w:pPr>
    </w:p>
    <w:p w14:paraId="01097EDE" w14:textId="3AD90E3A" w:rsidR="003248A0" w:rsidRPr="00D605F5" w:rsidRDefault="003248A0" w:rsidP="00957988">
      <w:pPr>
        <w:jc w:val="both"/>
        <w:rPr>
          <w:rFonts w:ascii="Arial" w:hAnsi="Arial" w:cs="Arial"/>
        </w:rPr>
      </w:pPr>
      <w:r w:rsidRPr="00D605F5">
        <w:rPr>
          <w:rFonts w:ascii="Arial" w:hAnsi="Arial" w:cs="Arial"/>
        </w:rPr>
        <w:t xml:space="preserve">Donna may have sustained frontal lobe </w:t>
      </w:r>
      <w:r w:rsidR="00D605F5" w:rsidRPr="00D605F5">
        <w:rPr>
          <w:rFonts w:ascii="Arial" w:hAnsi="Arial" w:cs="Arial"/>
        </w:rPr>
        <w:t>damage,</w:t>
      </w:r>
      <w:r w:rsidRPr="00D605F5">
        <w:rPr>
          <w:rFonts w:ascii="Arial" w:hAnsi="Arial" w:cs="Arial"/>
        </w:rPr>
        <w:t xml:space="preserve"> and it was highly likely that alcohol addiction was having a coercive and controlling effect on her decision making. Donna self-neglected and </w:t>
      </w:r>
      <w:r w:rsidR="00A65EF7" w:rsidRPr="00D605F5">
        <w:rPr>
          <w:rFonts w:ascii="Arial" w:hAnsi="Arial" w:cs="Arial"/>
        </w:rPr>
        <w:t xml:space="preserve">declined </w:t>
      </w:r>
      <w:r w:rsidRPr="00D605F5">
        <w:rPr>
          <w:rFonts w:ascii="Arial" w:hAnsi="Arial" w:cs="Arial"/>
        </w:rPr>
        <w:t xml:space="preserve">help such as rehabilitation and personal care. She made decisions that were irrational. One of the practitioners involved in supporting Donna described Donna as “extremely unwell” by the time she went into the detox centre and that the situation was akin to a “medical emergency” in that she would likely pass away if she did not detox. Detoxing only deals with the physical dependency. It does not deal with the emotional dependency and additional support is required in the form of </w:t>
      </w:r>
      <w:r w:rsidRPr="00D605F5">
        <w:rPr>
          <w:rFonts w:ascii="Arial" w:hAnsi="Arial" w:cs="Arial"/>
        </w:rPr>
        <w:lastRenderedPageBreak/>
        <w:t xml:space="preserve">rehabilitation services for sustained abstinence to be possible. When Donna </w:t>
      </w:r>
      <w:r w:rsidR="00A65EF7" w:rsidRPr="00D605F5">
        <w:rPr>
          <w:rFonts w:ascii="Arial" w:hAnsi="Arial" w:cs="Arial"/>
        </w:rPr>
        <w:t>declined</w:t>
      </w:r>
      <w:r w:rsidRPr="00D605F5">
        <w:rPr>
          <w:rFonts w:ascii="Arial" w:hAnsi="Arial" w:cs="Arial"/>
        </w:rPr>
        <w:t xml:space="preserve"> rehabilitation, it would have been appropriate to have considered and assessed Donna’s mental capacity to make decisions about her alcohol use and about to treatment and support options</w:t>
      </w:r>
      <w:r w:rsidR="004573F0" w:rsidRPr="00D605F5">
        <w:rPr>
          <w:rFonts w:ascii="Arial" w:hAnsi="Arial" w:cs="Arial"/>
        </w:rPr>
        <w:t xml:space="preserve"> including whether to decline them</w:t>
      </w:r>
      <w:r w:rsidRPr="00D605F5">
        <w:rPr>
          <w:rFonts w:ascii="Arial" w:hAnsi="Arial" w:cs="Arial"/>
        </w:rPr>
        <w:t>. If Donna had been found to lack the mental capacity to make these decisions, then decisions could have been made in her best interests on her behalf.</w:t>
      </w:r>
    </w:p>
    <w:p w14:paraId="78EA433D" w14:textId="4FB1F674" w:rsidR="00D33276" w:rsidRPr="00D605F5" w:rsidRDefault="00D33276" w:rsidP="00957988">
      <w:pPr>
        <w:jc w:val="both"/>
        <w:rPr>
          <w:rFonts w:ascii="Arial" w:hAnsi="Arial" w:cs="Arial"/>
          <w:lang w:eastAsia="en-GB"/>
        </w:rPr>
      </w:pPr>
    </w:p>
    <w:p w14:paraId="4B4C8987" w14:textId="5F370002" w:rsidR="003248A0" w:rsidRPr="00D605F5" w:rsidRDefault="003248A0" w:rsidP="00957988">
      <w:pPr>
        <w:jc w:val="both"/>
        <w:rPr>
          <w:rFonts w:ascii="Arial" w:hAnsi="Arial" w:cs="Arial"/>
          <w:b/>
          <w:bCs/>
          <w:i/>
          <w:iCs/>
          <w:color w:val="000000" w:themeColor="text1"/>
        </w:rPr>
      </w:pPr>
      <w:r w:rsidRPr="00D605F5">
        <w:rPr>
          <w:rFonts w:ascii="Arial" w:hAnsi="Arial" w:cs="Arial"/>
          <w:b/>
          <w:bCs/>
          <w:i/>
          <w:iCs/>
          <w:color w:val="000000" w:themeColor="text1"/>
        </w:rPr>
        <w:t>Best Interests</w:t>
      </w:r>
    </w:p>
    <w:p w14:paraId="5C083B9E" w14:textId="42E41602" w:rsidR="003248A0" w:rsidRPr="00D605F5" w:rsidRDefault="003248A0" w:rsidP="00957988">
      <w:pPr>
        <w:jc w:val="both"/>
        <w:rPr>
          <w:rFonts w:ascii="Arial" w:hAnsi="Arial" w:cs="Arial"/>
          <w:b/>
          <w:bCs/>
          <w:color w:val="000000" w:themeColor="text1"/>
        </w:rPr>
      </w:pPr>
    </w:p>
    <w:p w14:paraId="2B1BC9D7" w14:textId="7A532A49" w:rsidR="003248A0" w:rsidRPr="00D605F5" w:rsidRDefault="003248A0" w:rsidP="00957988">
      <w:pPr>
        <w:jc w:val="both"/>
        <w:rPr>
          <w:rFonts w:ascii="Arial" w:hAnsi="Arial" w:cs="Arial"/>
          <w:color w:val="000000" w:themeColor="text1"/>
        </w:rPr>
      </w:pPr>
      <w:r w:rsidRPr="00D605F5">
        <w:rPr>
          <w:rFonts w:ascii="Arial" w:hAnsi="Arial" w:cs="Arial"/>
          <w:color w:val="000000" w:themeColor="text1"/>
        </w:rPr>
        <w:t xml:space="preserve">A best interests meeting may be needed where someone aged at least 16 years old lacks the mental capacity to make significant decisions for themselves and requires others to make those decisions on their behalf. </w:t>
      </w:r>
    </w:p>
    <w:p w14:paraId="638A3D49" w14:textId="495E02A5" w:rsidR="003248A0" w:rsidRPr="00D605F5" w:rsidRDefault="003248A0" w:rsidP="00957988">
      <w:pPr>
        <w:jc w:val="both"/>
        <w:rPr>
          <w:rFonts w:ascii="Arial" w:hAnsi="Arial" w:cs="Arial"/>
          <w:color w:val="000000" w:themeColor="text1"/>
        </w:rPr>
      </w:pPr>
    </w:p>
    <w:p w14:paraId="30D982E7" w14:textId="2630657D" w:rsidR="003248A0" w:rsidRPr="00D605F5" w:rsidRDefault="003248A0" w:rsidP="00957988">
      <w:pPr>
        <w:jc w:val="both"/>
        <w:rPr>
          <w:rFonts w:ascii="Arial" w:hAnsi="Arial" w:cs="Arial"/>
          <w:color w:val="000000" w:themeColor="text1"/>
        </w:rPr>
      </w:pPr>
      <w:r w:rsidRPr="00D605F5">
        <w:rPr>
          <w:rFonts w:ascii="Arial" w:hAnsi="Arial" w:cs="Arial"/>
          <w:color w:val="000000" w:themeColor="text1"/>
        </w:rPr>
        <w:t xml:space="preserve">Had Donna’s capacity been assessed, and had she been found to lack the capacity to make decisions about self-care, alcohol use or treatment options, a best </w:t>
      </w:r>
      <w:r w:rsidR="00D605F5" w:rsidRPr="00D605F5">
        <w:rPr>
          <w:rFonts w:ascii="Arial" w:hAnsi="Arial" w:cs="Arial"/>
          <w:color w:val="000000" w:themeColor="text1"/>
        </w:rPr>
        <w:t>interest’s</w:t>
      </w:r>
      <w:r w:rsidRPr="00D605F5">
        <w:rPr>
          <w:rFonts w:ascii="Arial" w:hAnsi="Arial" w:cs="Arial"/>
          <w:color w:val="000000" w:themeColor="text1"/>
        </w:rPr>
        <w:t xml:space="preserve"> decision could have been made on her behalf. Because </w:t>
      </w:r>
      <w:r w:rsidR="004573F0" w:rsidRPr="00D605F5">
        <w:rPr>
          <w:rFonts w:ascii="Arial" w:hAnsi="Arial" w:cs="Arial"/>
          <w:color w:val="000000" w:themeColor="text1"/>
        </w:rPr>
        <w:t>it was never considered whether the presumption of capacity had been rebutted</w:t>
      </w:r>
      <w:r w:rsidR="00E618B0" w:rsidRPr="00D605F5">
        <w:rPr>
          <w:rFonts w:ascii="Arial" w:hAnsi="Arial" w:cs="Arial"/>
          <w:color w:val="000000" w:themeColor="text1"/>
        </w:rPr>
        <w:t>,</w:t>
      </w:r>
      <w:r w:rsidR="004573F0" w:rsidRPr="00D605F5">
        <w:rPr>
          <w:rFonts w:ascii="Arial" w:hAnsi="Arial" w:cs="Arial"/>
          <w:color w:val="000000" w:themeColor="text1"/>
        </w:rPr>
        <w:t xml:space="preserve"> </w:t>
      </w:r>
      <w:r w:rsidRPr="00D605F5">
        <w:rPr>
          <w:rFonts w:ascii="Arial" w:hAnsi="Arial" w:cs="Arial"/>
          <w:color w:val="000000" w:themeColor="text1"/>
        </w:rPr>
        <w:t>Donna’s mental capacity was</w:t>
      </w:r>
      <w:r w:rsidR="00D605F5" w:rsidRPr="00D605F5">
        <w:rPr>
          <w:rFonts w:ascii="Arial" w:hAnsi="Arial" w:cs="Arial"/>
          <w:color w:val="000000" w:themeColor="text1"/>
        </w:rPr>
        <w:t xml:space="preserve"> </w:t>
      </w:r>
      <w:r w:rsidRPr="00D605F5">
        <w:rPr>
          <w:rFonts w:ascii="Arial" w:hAnsi="Arial" w:cs="Arial"/>
          <w:color w:val="000000" w:themeColor="text1"/>
        </w:rPr>
        <w:t>never assessed</w:t>
      </w:r>
      <w:r w:rsidR="00E618B0" w:rsidRPr="00D605F5">
        <w:rPr>
          <w:rFonts w:ascii="Arial" w:hAnsi="Arial" w:cs="Arial"/>
          <w:color w:val="000000" w:themeColor="text1"/>
        </w:rPr>
        <w:t xml:space="preserve"> and</w:t>
      </w:r>
      <w:r w:rsidR="00D605F5" w:rsidRPr="00D605F5">
        <w:rPr>
          <w:rFonts w:ascii="Arial" w:hAnsi="Arial" w:cs="Arial"/>
          <w:color w:val="000000" w:themeColor="text1"/>
        </w:rPr>
        <w:t xml:space="preserve"> </w:t>
      </w:r>
      <w:r w:rsidRPr="00D605F5">
        <w:rPr>
          <w:rFonts w:ascii="Arial" w:hAnsi="Arial" w:cs="Arial"/>
          <w:color w:val="000000" w:themeColor="text1"/>
        </w:rPr>
        <w:t>making decisions on her behalf in her best interests, which may have changed outcomes for Donna, was not possible.</w:t>
      </w:r>
    </w:p>
    <w:p w14:paraId="1084CA22" w14:textId="514B3E03" w:rsidR="003248A0" w:rsidRPr="00D605F5" w:rsidRDefault="003248A0" w:rsidP="00957988">
      <w:pPr>
        <w:jc w:val="both"/>
        <w:rPr>
          <w:rFonts w:ascii="Arial" w:hAnsi="Arial" w:cs="Arial"/>
          <w:color w:val="000000" w:themeColor="text1"/>
        </w:rPr>
      </w:pPr>
    </w:p>
    <w:p w14:paraId="654AA85D" w14:textId="77777777" w:rsidR="003248A0" w:rsidRPr="00D605F5" w:rsidRDefault="003248A0" w:rsidP="00957988">
      <w:pPr>
        <w:jc w:val="both"/>
        <w:rPr>
          <w:rFonts w:ascii="Arial" w:hAnsi="Arial" w:cs="Arial"/>
          <w:color w:val="000000" w:themeColor="text1"/>
        </w:rPr>
      </w:pPr>
      <w:r w:rsidRPr="00D605F5">
        <w:rPr>
          <w:rFonts w:ascii="Arial" w:hAnsi="Arial" w:cs="Arial"/>
          <w:color w:val="000000" w:themeColor="text1"/>
        </w:rPr>
        <w:t xml:space="preserve">If Donna had been found to have the mental capacity to make the relevant decisions, then consideration should have been given to whether or not there was a duty to act to promote her wellbeing (section 1, Care Act 2014) or her rights under, for example, articles 2 and 8 of the Human Rights Act. </w:t>
      </w:r>
    </w:p>
    <w:p w14:paraId="4E96D3C1" w14:textId="77777777" w:rsidR="003248A0" w:rsidRPr="00D605F5" w:rsidRDefault="003248A0" w:rsidP="00957988">
      <w:pPr>
        <w:jc w:val="both"/>
        <w:rPr>
          <w:rFonts w:ascii="Arial" w:hAnsi="Arial" w:cs="Arial"/>
          <w:color w:val="000000" w:themeColor="text1"/>
        </w:rPr>
      </w:pPr>
    </w:p>
    <w:p w14:paraId="7F5336D4" w14:textId="654C1A72" w:rsidR="003248A0" w:rsidRPr="00D605F5" w:rsidRDefault="003248A0" w:rsidP="00957988">
      <w:pPr>
        <w:jc w:val="both"/>
        <w:rPr>
          <w:rFonts w:ascii="Arial" w:hAnsi="Arial" w:cs="Arial"/>
          <w:b/>
          <w:bCs/>
          <w:i/>
          <w:iCs/>
          <w:color w:val="000000" w:themeColor="text1"/>
        </w:rPr>
      </w:pPr>
      <w:r w:rsidRPr="00D605F5">
        <w:rPr>
          <w:rFonts w:ascii="Arial" w:hAnsi="Arial" w:cs="Arial"/>
          <w:b/>
          <w:bCs/>
          <w:i/>
          <w:iCs/>
          <w:color w:val="000000" w:themeColor="text1"/>
        </w:rPr>
        <w:t>Meeting Donna’s care and support needs</w:t>
      </w:r>
    </w:p>
    <w:p w14:paraId="339F647A" w14:textId="04DE66BA" w:rsidR="00C61370" w:rsidRPr="00D605F5" w:rsidRDefault="00C61370" w:rsidP="00957988">
      <w:pPr>
        <w:jc w:val="both"/>
        <w:rPr>
          <w:rFonts w:ascii="Arial" w:hAnsi="Arial" w:cs="Arial"/>
          <w:b/>
          <w:bCs/>
          <w:color w:val="000000" w:themeColor="text1"/>
        </w:rPr>
      </w:pPr>
    </w:p>
    <w:p w14:paraId="5766D44F" w14:textId="5E176487" w:rsidR="00C61370" w:rsidRPr="00D605F5" w:rsidRDefault="00C61370" w:rsidP="00957988">
      <w:pPr>
        <w:jc w:val="both"/>
        <w:rPr>
          <w:rFonts w:ascii="Arial" w:hAnsi="Arial" w:cs="Arial"/>
        </w:rPr>
      </w:pPr>
      <w:r w:rsidRPr="00D605F5">
        <w:rPr>
          <w:rFonts w:ascii="Arial" w:hAnsi="Arial" w:cs="Arial"/>
          <w:color w:val="000000" w:themeColor="text1"/>
        </w:rPr>
        <w:t>The processes for identifying and meeting Donna’s care and support needs were not executed in a timely manner</w:t>
      </w:r>
      <w:r w:rsidR="00A67416" w:rsidRPr="00D605F5">
        <w:rPr>
          <w:rFonts w:ascii="Arial" w:hAnsi="Arial" w:cs="Arial"/>
          <w:color w:val="000000" w:themeColor="text1"/>
        </w:rPr>
        <w:t xml:space="preserve">. </w:t>
      </w:r>
      <w:r w:rsidRPr="00D605F5">
        <w:rPr>
          <w:rFonts w:ascii="Arial" w:hAnsi="Arial" w:cs="Arial"/>
        </w:rPr>
        <w:t xml:space="preserve">There were delays in assessing Donna’s needs and this resulted in considerable time elapsing before a care package was put in place. </w:t>
      </w:r>
    </w:p>
    <w:p w14:paraId="659790E7" w14:textId="029ED0FA" w:rsidR="00C61370" w:rsidRPr="00D605F5" w:rsidRDefault="00C61370" w:rsidP="00957988">
      <w:pPr>
        <w:jc w:val="both"/>
        <w:rPr>
          <w:rFonts w:ascii="Arial" w:hAnsi="Arial" w:cs="Arial"/>
        </w:rPr>
      </w:pPr>
    </w:p>
    <w:p w14:paraId="21C3BF3E" w14:textId="6D8C7EBF" w:rsidR="00C61370" w:rsidRPr="00D605F5" w:rsidRDefault="00C61370" w:rsidP="00957988">
      <w:pPr>
        <w:jc w:val="both"/>
        <w:rPr>
          <w:rFonts w:ascii="Arial" w:hAnsi="Arial" w:cs="Arial"/>
        </w:rPr>
      </w:pPr>
    </w:p>
    <w:p w14:paraId="10A069D5" w14:textId="5B30354B" w:rsidR="00C61370" w:rsidRPr="00D605F5" w:rsidRDefault="00C61370" w:rsidP="00957988">
      <w:pPr>
        <w:jc w:val="both"/>
        <w:rPr>
          <w:rFonts w:ascii="Arial" w:hAnsi="Arial" w:cs="Arial"/>
          <w:b/>
          <w:bCs/>
          <w:i/>
          <w:iCs/>
        </w:rPr>
      </w:pPr>
      <w:r w:rsidRPr="00D605F5">
        <w:rPr>
          <w:rFonts w:ascii="Arial" w:hAnsi="Arial" w:cs="Arial"/>
          <w:b/>
          <w:bCs/>
          <w:i/>
          <w:iCs/>
        </w:rPr>
        <w:t>Safeguarding</w:t>
      </w:r>
    </w:p>
    <w:p w14:paraId="63795C94" w14:textId="41E18DE8" w:rsidR="00C61370" w:rsidRPr="00D605F5" w:rsidRDefault="00C61370" w:rsidP="00957988">
      <w:pPr>
        <w:jc w:val="both"/>
        <w:rPr>
          <w:rFonts w:ascii="Arial" w:hAnsi="Arial" w:cs="Arial"/>
          <w:b/>
          <w:bCs/>
        </w:rPr>
      </w:pPr>
    </w:p>
    <w:p w14:paraId="6317AF35" w14:textId="7B1E1760" w:rsidR="00C61370" w:rsidRPr="00D605F5" w:rsidRDefault="00CB6F3A" w:rsidP="00957988">
      <w:pPr>
        <w:jc w:val="both"/>
        <w:rPr>
          <w:rFonts w:ascii="Arial" w:hAnsi="Arial" w:cs="Arial"/>
        </w:rPr>
      </w:pPr>
      <w:r w:rsidRPr="00D605F5">
        <w:rPr>
          <w:rFonts w:ascii="Arial" w:hAnsi="Arial" w:cs="Arial"/>
        </w:rPr>
        <w:t xml:space="preserve">Between August 2020 and June 2021 there were six safeguarding referrals made relating to Donna and/or her children. Of the six, one was handled by Children’s Services and action was taken, but ASC were not invited to take part, nor were they updated on the actions taken. Five of the referrals were made by </w:t>
      </w:r>
      <w:r w:rsidR="00A67416" w:rsidRPr="00D605F5">
        <w:rPr>
          <w:rFonts w:ascii="Arial" w:hAnsi="Arial" w:cs="Arial"/>
        </w:rPr>
        <w:t>SECamb</w:t>
      </w:r>
      <w:r w:rsidRPr="00D605F5">
        <w:rPr>
          <w:rFonts w:ascii="Arial" w:hAnsi="Arial" w:cs="Arial"/>
        </w:rPr>
        <w:t>, four of which were reported to ASC.</w:t>
      </w:r>
    </w:p>
    <w:p w14:paraId="34B000AE" w14:textId="5F16D12D" w:rsidR="00CB6F3A" w:rsidRPr="00D605F5" w:rsidRDefault="00CB6F3A" w:rsidP="00957988">
      <w:pPr>
        <w:jc w:val="both"/>
        <w:rPr>
          <w:rFonts w:ascii="Arial" w:hAnsi="Arial" w:cs="Arial"/>
        </w:rPr>
      </w:pPr>
    </w:p>
    <w:p w14:paraId="09638D82" w14:textId="596ACE61" w:rsidR="00CB6F3A" w:rsidRPr="00D605F5" w:rsidRDefault="00CB6F3A" w:rsidP="00957988">
      <w:pPr>
        <w:jc w:val="both"/>
        <w:rPr>
          <w:rFonts w:ascii="Arial" w:hAnsi="Arial" w:cs="Arial"/>
        </w:rPr>
      </w:pPr>
      <w:r w:rsidRPr="00D605F5">
        <w:rPr>
          <w:rFonts w:ascii="Arial" w:hAnsi="Arial" w:cs="Arial"/>
          <w:color w:val="000000" w:themeColor="text1"/>
        </w:rPr>
        <w:t xml:space="preserve">Donna was judged not to have met the criteria set out in Section 42 of the Care </w:t>
      </w:r>
      <w:r w:rsidR="00A67416" w:rsidRPr="00D605F5">
        <w:rPr>
          <w:rFonts w:ascii="Arial" w:hAnsi="Arial" w:cs="Arial"/>
          <w:color w:val="000000" w:themeColor="text1"/>
        </w:rPr>
        <w:t>Act,</w:t>
      </w:r>
      <w:r w:rsidRPr="00D605F5">
        <w:rPr>
          <w:rFonts w:ascii="Arial" w:hAnsi="Arial" w:cs="Arial"/>
          <w:color w:val="000000" w:themeColor="text1"/>
        </w:rPr>
        <w:t xml:space="preserve"> but</w:t>
      </w:r>
      <w:r w:rsidRPr="00D605F5">
        <w:rPr>
          <w:rFonts w:ascii="Arial" w:hAnsi="Arial" w:cs="Arial"/>
        </w:rPr>
        <w:t xml:space="preserve"> the Care Act Statutory Guidance makes provision for non-statutory adult safeguarding enquiries (also known as “other” enquiries) and interventions where the criteria are not met, but where there is sufficient concern that someone may come to harm. It is likely that Donna met at least the criteria for a non-statutory adult safeguarding enquiry and that either this or a Section 42 enquiry might have been an opportunity to reconsider the extent to which the current interventions and approaches were proving effective.</w:t>
      </w:r>
    </w:p>
    <w:p w14:paraId="56D82F1A" w14:textId="3E93E970" w:rsidR="00CB6F3A" w:rsidRPr="00D605F5" w:rsidRDefault="00CB6F3A" w:rsidP="00957988">
      <w:pPr>
        <w:jc w:val="both"/>
        <w:rPr>
          <w:rFonts w:ascii="Arial" w:hAnsi="Arial" w:cs="Arial"/>
        </w:rPr>
      </w:pPr>
    </w:p>
    <w:p w14:paraId="4B6F443B" w14:textId="77777777" w:rsidR="00CB6F3A" w:rsidRPr="00D605F5" w:rsidRDefault="00CB6F3A" w:rsidP="00957988">
      <w:pPr>
        <w:jc w:val="both"/>
        <w:rPr>
          <w:rFonts w:ascii="Arial" w:hAnsi="Arial" w:cs="Arial"/>
          <w:b/>
          <w:bCs/>
          <w:color w:val="000000" w:themeColor="text1"/>
        </w:rPr>
      </w:pPr>
    </w:p>
    <w:p w14:paraId="5615D99B" w14:textId="612F2567" w:rsidR="00D80897" w:rsidRPr="00D605F5" w:rsidRDefault="00D80897" w:rsidP="00957988">
      <w:pPr>
        <w:jc w:val="both"/>
        <w:rPr>
          <w:rFonts w:ascii="Arial" w:hAnsi="Arial" w:cs="Arial"/>
          <w:b/>
          <w:bCs/>
          <w:i/>
          <w:iCs/>
        </w:rPr>
      </w:pPr>
      <w:r w:rsidRPr="00D605F5">
        <w:rPr>
          <w:rFonts w:ascii="Arial" w:hAnsi="Arial" w:cs="Arial"/>
          <w:b/>
          <w:bCs/>
          <w:i/>
          <w:iCs/>
        </w:rPr>
        <w:lastRenderedPageBreak/>
        <w:t>Multi-Agency Working</w:t>
      </w:r>
    </w:p>
    <w:p w14:paraId="68BABC5A" w14:textId="5ED8C407" w:rsidR="00D80897" w:rsidRPr="00D605F5" w:rsidRDefault="00D80897" w:rsidP="00957988">
      <w:pPr>
        <w:jc w:val="both"/>
        <w:rPr>
          <w:rFonts w:ascii="Arial" w:hAnsi="Arial" w:cs="Arial"/>
          <w:b/>
          <w:bCs/>
        </w:rPr>
      </w:pPr>
    </w:p>
    <w:p w14:paraId="148E7AEA" w14:textId="4C73B383" w:rsidR="00D80897" w:rsidRPr="00D605F5" w:rsidRDefault="00D80897" w:rsidP="00957988">
      <w:pPr>
        <w:jc w:val="both"/>
        <w:rPr>
          <w:rFonts w:ascii="Arial" w:hAnsi="Arial" w:cs="Arial"/>
        </w:rPr>
      </w:pPr>
      <w:r w:rsidRPr="00D605F5">
        <w:rPr>
          <w:rFonts w:ascii="Arial" w:hAnsi="Arial" w:cs="Arial"/>
        </w:rPr>
        <w:t>Whilst there was a Strategy meeting led by Children’s Services which included a number of different agencies, this was focused on Donna’s children. There was no multi-agency meeting to discuss Donna. There was no coordinated multi-agency approach which recognised the full complexity of and interrelationship between Donna’s needs and circumstances</w:t>
      </w:r>
      <w:r w:rsidR="00A67416" w:rsidRPr="00D605F5">
        <w:rPr>
          <w:rFonts w:ascii="Arial" w:hAnsi="Arial" w:cs="Arial"/>
        </w:rPr>
        <w:t xml:space="preserve">. </w:t>
      </w:r>
    </w:p>
    <w:p w14:paraId="5F0AD04D" w14:textId="3CE6106F" w:rsidR="00D80897" w:rsidRPr="00D605F5" w:rsidRDefault="00D80897" w:rsidP="00957988">
      <w:pPr>
        <w:jc w:val="both"/>
        <w:rPr>
          <w:rFonts w:ascii="Arial" w:hAnsi="Arial" w:cs="Arial"/>
        </w:rPr>
      </w:pPr>
    </w:p>
    <w:p w14:paraId="611152D5" w14:textId="05F8DFCE" w:rsidR="00D80897" w:rsidRPr="00D605F5" w:rsidRDefault="00D80897" w:rsidP="00957988">
      <w:pPr>
        <w:jc w:val="both"/>
        <w:rPr>
          <w:rFonts w:ascii="Arial" w:hAnsi="Arial" w:cs="Arial"/>
          <w:color w:val="000000" w:themeColor="text1"/>
        </w:rPr>
      </w:pPr>
      <w:r w:rsidRPr="00D605F5">
        <w:rPr>
          <w:rFonts w:ascii="Arial" w:hAnsi="Arial" w:cs="Arial"/>
          <w:color w:val="000000" w:themeColor="text1"/>
        </w:rPr>
        <w:t xml:space="preserve">There was no shared approach to risk management. At the time of Donna’s death the </w:t>
      </w:r>
      <w:hyperlink r:id="rId11" w:history="1">
        <w:r w:rsidRPr="00D605F5">
          <w:rPr>
            <w:rStyle w:val="Hyperlink"/>
            <w:rFonts w:ascii="Arial" w:hAnsi="Arial" w:cs="Arial"/>
          </w:rPr>
          <w:t>East Sussex Safeguarding Adults Board Multi-Agency Risk Management (MARM) Protocol</w:t>
        </w:r>
      </w:hyperlink>
      <w:r w:rsidRPr="00D605F5">
        <w:rPr>
          <w:rFonts w:ascii="Arial" w:hAnsi="Arial" w:cs="Arial"/>
          <w:color w:val="000000" w:themeColor="text1"/>
        </w:rPr>
        <w:t xml:space="preserve"> was not in place. However the </w:t>
      </w:r>
      <w:hyperlink r:id="rId12" w:history="1">
        <w:r w:rsidRPr="00D605F5">
          <w:rPr>
            <w:rStyle w:val="Hyperlink"/>
            <w:rFonts w:ascii="Arial" w:hAnsi="Arial" w:cs="Arial"/>
          </w:rPr>
          <w:t>Sussex Multi-Agency Procedures to Support Adults who Self-Neglect</w:t>
        </w:r>
      </w:hyperlink>
      <w:r w:rsidRPr="00D605F5">
        <w:rPr>
          <w:rFonts w:ascii="Arial" w:hAnsi="Arial" w:cs="Arial"/>
          <w:color w:val="000000" w:themeColor="text1"/>
        </w:rPr>
        <w:t>, published in May 2019, were in place during the SAR review period for Donna (August 2020 to August 2021) and, had the procedures been followed in Donna’s case, it is likely that a multi-agency planning meeting would have been held and a comprehensive assessment of risk would have been completed.</w:t>
      </w:r>
    </w:p>
    <w:p w14:paraId="22AC3E25" w14:textId="44D8CC56" w:rsidR="00D80897" w:rsidRPr="00D605F5" w:rsidRDefault="00D80897" w:rsidP="00957988">
      <w:pPr>
        <w:jc w:val="both"/>
        <w:rPr>
          <w:rFonts w:ascii="Arial" w:hAnsi="Arial" w:cs="Arial"/>
          <w:color w:val="000000" w:themeColor="text1"/>
        </w:rPr>
      </w:pPr>
    </w:p>
    <w:p w14:paraId="379AE916" w14:textId="63864C0B" w:rsidR="00D80897" w:rsidRPr="00D605F5" w:rsidRDefault="00D80897" w:rsidP="00957988">
      <w:pPr>
        <w:jc w:val="both"/>
        <w:rPr>
          <w:rFonts w:ascii="Arial" w:hAnsi="Arial" w:cs="Arial"/>
          <w:b/>
          <w:bCs/>
          <w:i/>
          <w:iCs/>
        </w:rPr>
      </w:pPr>
      <w:r w:rsidRPr="00D605F5">
        <w:rPr>
          <w:rFonts w:ascii="Arial" w:hAnsi="Arial" w:cs="Arial"/>
          <w:b/>
          <w:bCs/>
          <w:i/>
          <w:iCs/>
        </w:rPr>
        <w:t>Mental Health</w:t>
      </w:r>
    </w:p>
    <w:p w14:paraId="32202E91" w14:textId="17A75216" w:rsidR="00D80897" w:rsidRPr="00D605F5" w:rsidRDefault="00D80897" w:rsidP="00957988">
      <w:pPr>
        <w:jc w:val="both"/>
        <w:rPr>
          <w:rFonts w:ascii="Arial" w:hAnsi="Arial" w:cs="Arial"/>
          <w:b/>
          <w:bCs/>
        </w:rPr>
      </w:pPr>
    </w:p>
    <w:p w14:paraId="669074A8" w14:textId="1B04E7C0" w:rsidR="00D80897" w:rsidRPr="00D605F5" w:rsidRDefault="00D80897" w:rsidP="00957988">
      <w:pPr>
        <w:jc w:val="both"/>
        <w:rPr>
          <w:rFonts w:ascii="Arial" w:hAnsi="Arial" w:cs="Arial"/>
        </w:rPr>
      </w:pPr>
      <w:r w:rsidRPr="00D605F5">
        <w:rPr>
          <w:rFonts w:ascii="Arial" w:hAnsi="Arial" w:cs="Arial"/>
        </w:rPr>
        <w:t xml:space="preserve">Some mental health input may have enabled a more holistic approach to understanding and meeting Donna’s complex needs. It may also have considered Donna to be at high-risk level. </w:t>
      </w:r>
    </w:p>
    <w:p w14:paraId="263B6DD2" w14:textId="50F0C630" w:rsidR="00D80897" w:rsidRPr="00D605F5" w:rsidRDefault="00D80897" w:rsidP="00957988">
      <w:pPr>
        <w:jc w:val="both"/>
        <w:rPr>
          <w:rFonts w:ascii="Arial" w:hAnsi="Arial" w:cs="Arial"/>
        </w:rPr>
      </w:pPr>
    </w:p>
    <w:p w14:paraId="20D02748" w14:textId="431087FE" w:rsidR="00D80897" w:rsidRPr="00D605F5" w:rsidRDefault="00D80897" w:rsidP="00957988">
      <w:pPr>
        <w:jc w:val="both"/>
        <w:rPr>
          <w:rFonts w:ascii="Arial" w:hAnsi="Arial" w:cs="Arial"/>
          <w:b/>
          <w:bCs/>
          <w:i/>
          <w:iCs/>
        </w:rPr>
      </w:pPr>
      <w:r w:rsidRPr="00D605F5">
        <w:rPr>
          <w:rFonts w:ascii="Arial" w:hAnsi="Arial" w:cs="Arial"/>
          <w:b/>
          <w:bCs/>
          <w:i/>
          <w:iCs/>
        </w:rPr>
        <w:t>Self-Neglect</w:t>
      </w:r>
    </w:p>
    <w:p w14:paraId="6C3DF988" w14:textId="209AC394" w:rsidR="00D80897" w:rsidRPr="00D605F5" w:rsidRDefault="00D80897" w:rsidP="00957988">
      <w:pPr>
        <w:jc w:val="both"/>
        <w:rPr>
          <w:rFonts w:ascii="Arial" w:hAnsi="Arial" w:cs="Arial"/>
          <w:b/>
          <w:bCs/>
        </w:rPr>
      </w:pPr>
    </w:p>
    <w:p w14:paraId="4C002309" w14:textId="5FE8F640" w:rsidR="00D80897" w:rsidRPr="00D605F5" w:rsidRDefault="00D80897" w:rsidP="00957988">
      <w:pPr>
        <w:jc w:val="both"/>
        <w:rPr>
          <w:rFonts w:ascii="Arial" w:hAnsi="Arial" w:cs="Arial"/>
        </w:rPr>
      </w:pPr>
      <w:r w:rsidRPr="00D605F5">
        <w:rPr>
          <w:rFonts w:ascii="Arial" w:hAnsi="Arial" w:cs="Arial"/>
        </w:rPr>
        <w:t>Some of the good practice guidelines for working with people who self-neglect was in evidence in the way agencies worked with Donna. However, for the future more attention needs to be given to seeking to understand the significance of self-neglect, capitalising on moments of motivation, a sound understanding of legal powers and duties, mental capacity, thinking flexibly about how family members and community resources can contribute to interventions, and working proactively to engage and co-ordinate agencies with specialist expertise to contribute to shared goals.</w:t>
      </w:r>
    </w:p>
    <w:p w14:paraId="6C4DD144" w14:textId="073BE5A5" w:rsidR="00D80897" w:rsidRPr="00D605F5" w:rsidRDefault="00D80897" w:rsidP="00957988">
      <w:pPr>
        <w:jc w:val="both"/>
        <w:rPr>
          <w:rFonts w:ascii="Arial" w:hAnsi="Arial" w:cs="Arial"/>
          <w:b/>
          <w:bCs/>
        </w:rPr>
      </w:pPr>
    </w:p>
    <w:p w14:paraId="58D18C15" w14:textId="16CE68BD" w:rsidR="00D80897" w:rsidRPr="00D605F5" w:rsidRDefault="00065615" w:rsidP="00957988">
      <w:pPr>
        <w:pStyle w:val="Heading1"/>
        <w:ind w:left="709" w:hanging="709"/>
        <w:jc w:val="both"/>
        <w:rPr>
          <w:rFonts w:ascii="Arial" w:hAnsi="Arial" w:cs="Arial"/>
          <w:i/>
          <w:iCs/>
          <w:color w:val="000000" w:themeColor="text1"/>
          <w:sz w:val="24"/>
          <w:szCs w:val="24"/>
        </w:rPr>
      </w:pPr>
      <w:r w:rsidRPr="00D605F5">
        <w:rPr>
          <w:rFonts w:ascii="Arial" w:hAnsi="Arial" w:cs="Arial"/>
          <w:i/>
          <w:iCs/>
          <w:color w:val="000000" w:themeColor="text1"/>
          <w:sz w:val="24"/>
          <w:szCs w:val="24"/>
        </w:rPr>
        <w:t>Good Practice</w:t>
      </w:r>
    </w:p>
    <w:p w14:paraId="1FE5B01A" w14:textId="62862CC0" w:rsidR="00D80897" w:rsidRPr="00D605F5" w:rsidRDefault="00D80897" w:rsidP="00957988">
      <w:pPr>
        <w:jc w:val="both"/>
        <w:rPr>
          <w:rFonts w:ascii="Arial" w:hAnsi="Arial" w:cs="Arial"/>
        </w:rPr>
      </w:pPr>
      <w:r w:rsidRPr="00D605F5">
        <w:rPr>
          <w:rFonts w:ascii="Arial" w:hAnsi="Arial" w:cs="Arial"/>
        </w:rPr>
        <w:t xml:space="preserve">CGL STAR were heavily involved in supporting Donna. CGL STAR offer a “non-judgemental” and “friendly” service. These elements are important requirements in seeking to secure engagement and are good practice. They gave Donna advice about detoxing safely; secured a bed in a London detox centre and provided additional funding to support Donna with her mobility needs during her stay at the </w:t>
      </w:r>
      <w:r w:rsidR="00D605F5" w:rsidRPr="00D605F5">
        <w:rPr>
          <w:rFonts w:ascii="Arial" w:hAnsi="Arial" w:cs="Arial"/>
        </w:rPr>
        <w:t>centre.</w:t>
      </w:r>
    </w:p>
    <w:p w14:paraId="29077B27" w14:textId="1F0C486F" w:rsidR="00D80897" w:rsidRPr="00D605F5" w:rsidRDefault="00D80897" w:rsidP="00957988">
      <w:pPr>
        <w:jc w:val="both"/>
        <w:rPr>
          <w:rFonts w:ascii="Arial" w:hAnsi="Arial" w:cs="Arial"/>
        </w:rPr>
      </w:pPr>
    </w:p>
    <w:p w14:paraId="354385D1" w14:textId="3C9C0EDE" w:rsidR="00D80897" w:rsidRPr="00D605F5" w:rsidRDefault="00D80897" w:rsidP="00957988">
      <w:pPr>
        <w:jc w:val="both"/>
        <w:rPr>
          <w:rFonts w:ascii="Arial" w:hAnsi="Arial" w:cs="Arial"/>
        </w:rPr>
      </w:pPr>
      <w:r w:rsidRPr="00D605F5">
        <w:rPr>
          <w:rFonts w:ascii="Arial" w:hAnsi="Arial" w:cs="Arial"/>
        </w:rPr>
        <w:t>Donna was provided with a number of aids to support her with mobility and her diminished sight.</w:t>
      </w:r>
    </w:p>
    <w:p w14:paraId="49F32248" w14:textId="0F76F083" w:rsidR="00D80897" w:rsidRPr="00D605F5" w:rsidRDefault="00D80897" w:rsidP="00957988">
      <w:pPr>
        <w:jc w:val="both"/>
        <w:rPr>
          <w:rFonts w:ascii="Arial" w:hAnsi="Arial" w:cs="Arial"/>
        </w:rPr>
      </w:pPr>
    </w:p>
    <w:p w14:paraId="60F58896" w14:textId="17C7BB2C" w:rsidR="00D80897" w:rsidRPr="00D605F5" w:rsidRDefault="00D80897" w:rsidP="00957988">
      <w:pPr>
        <w:jc w:val="both"/>
        <w:rPr>
          <w:rFonts w:ascii="Arial" w:hAnsi="Arial" w:cs="Arial"/>
          <w:color w:val="000000" w:themeColor="text1"/>
        </w:rPr>
      </w:pPr>
      <w:r w:rsidRPr="00D605F5">
        <w:rPr>
          <w:rFonts w:ascii="Arial" w:hAnsi="Arial" w:cs="Arial"/>
          <w:color w:val="000000" w:themeColor="text1"/>
        </w:rPr>
        <w:t xml:space="preserve">Sussex Police dealt with a number of incidents and although these were reported as individual events, there was ‘joined up’ thinking and a recognition in police contacts with Donna that her drinking was increasing and having a significant impact on her family. There was also an understanding by police and by </w:t>
      </w:r>
      <w:r w:rsidR="00A67416" w:rsidRPr="00D605F5">
        <w:rPr>
          <w:rFonts w:ascii="Arial" w:hAnsi="Arial" w:cs="Arial"/>
          <w:color w:val="000000" w:themeColor="text1"/>
        </w:rPr>
        <w:t>SECamb</w:t>
      </w:r>
      <w:r w:rsidRPr="00D605F5">
        <w:rPr>
          <w:rFonts w:ascii="Arial" w:hAnsi="Arial" w:cs="Arial"/>
          <w:color w:val="000000" w:themeColor="text1"/>
        </w:rPr>
        <w:t xml:space="preserve"> that self-neglect was increasingly evident as a result of Donna’s alcohol misuse.</w:t>
      </w:r>
    </w:p>
    <w:p w14:paraId="00F9EDF9" w14:textId="0F2B0EC6" w:rsidR="00D80897" w:rsidRPr="00D605F5" w:rsidRDefault="00D80897" w:rsidP="00957988">
      <w:pPr>
        <w:jc w:val="both"/>
        <w:rPr>
          <w:rFonts w:ascii="Arial" w:hAnsi="Arial" w:cs="Arial"/>
          <w:color w:val="000000" w:themeColor="text1"/>
        </w:rPr>
      </w:pPr>
    </w:p>
    <w:p w14:paraId="01E286F2" w14:textId="0DBA8953" w:rsidR="00D80897" w:rsidRPr="00D605F5" w:rsidRDefault="00D80897" w:rsidP="00957988">
      <w:pPr>
        <w:jc w:val="both"/>
        <w:rPr>
          <w:rFonts w:ascii="Arial" w:hAnsi="Arial" w:cs="Arial"/>
          <w:color w:val="000000" w:themeColor="text1"/>
        </w:rPr>
      </w:pPr>
      <w:r w:rsidRPr="00D605F5">
        <w:rPr>
          <w:rFonts w:ascii="Arial" w:hAnsi="Arial" w:cs="Arial"/>
          <w:color w:val="000000" w:themeColor="text1"/>
        </w:rPr>
        <w:lastRenderedPageBreak/>
        <w:t>Children’s Services took appropriate action in response to safeguarding concerns and worked closely with ASC.</w:t>
      </w:r>
    </w:p>
    <w:p w14:paraId="4C950055" w14:textId="77777777" w:rsidR="00DA282F" w:rsidRPr="00D605F5" w:rsidRDefault="00DA282F" w:rsidP="00957988">
      <w:pPr>
        <w:jc w:val="both"/>
        <w:rPr>
          <w:rFonts w:ascii="Arial" w:hAnsi="Arial" w:cs="Arial"/>
          <w:color w:val="000000" w:themeColor="text1"/>
        </w:rPr>
      </w:pPr>
    </w:p>
    <w:p w14:paraId="1C464CA2" w14:textId="4FF695E1" w:rsidR="00D80897" w:rsidRPr="00D605F5" w:rsidRDefault="00D80897" w:rsidP="00957988">
      <w:pPr>
        <w:jc w:val="both"/>
        <w:rPr>
          <w:rFonts w:ascii="Arial" w:hAnsi="Arial" w:cs="Arial"/>
          <w:color w:val="000000" w:themeColor="text1"/>
        </w:rPr>
      </w:pPr>
    </w:p>
    <w:p w14:paraId="2D6C63B0" w14:textId="6D680F8B" w:rsidR="00D80897" w:rsidRPr="00D605F5" w:rsidRDefault="00D80897" w:rsidP="000032D4">
      <w:pPr>
        <w:pStyle w:val="Heading1"/>
        <w:numPr>
          <w:ilvl w:val="0"/>
          <w:numId w:val="10"/>
        </w:numPr>
        <w:jc w:val="both"/>
        <w:rPr>
          <w:rFonts w:ascii="Arial" w:hAnsi="Arial" w:cs="Arial"/>
          <w:sz w:val="24"/>
          <w:szCs w:val="24"/>
        </w:rPr>
      </w:pPr>
      <w:bookmarkStart w:id="3" w:name="_Toc84580876"/>
      <w:bookmarkStart w:id="4" w:name="_Toc147494559"/>
      <w:r w:rsidRPr="00D605F5">
        <w:rPr>
          <w:rFonts w:ascii="Arial" w:hAnsi="Arial" w:cs="Arial"/>
          <w:sz w:val="24"/>
          <w:szCs w:val="24"/>
        </w:rPr>
        <w:t>C</w:t>
      </w:r>
      <w:bookmarkEnd w:id="3"/>
      <w:bookmarkEnd w:id="4"/>
      <w:r w:rsidR="00957988" w:rsidRPr="00D605F5">
        <w:rPr>
          <w:rFonts w:ascii="Arial" w:hAnsi="Arial" w:cs="Arial"/>
          <w:sz w:val="24"/>
          <w:szCs w:val="24"/>
        </w:rPr>
        <w:t>onclusions</w:t>
      </w:r>
    </w:p>
    <w:p w14:paraId="75B7EDDD" w14:textId="712DDFFD" w:rsidR="00D80897" w:rsidRPr="00D605F5" w:rsidRDefault="00D80897" w:rsidP="000032D4">
      <w:pPr>
        <w:pStyle w:val="ListParagraph"/>
        <w:numPr>
          <w:ilvl w:val="0"/>
          <w:numId w:val="12"/>
        </w:numPr>
        <w:rPr>
          <w:rFonts w:ascii="Arial" w:hAnsi="Arial" w:cs="Arial"/>
        </w:rPr>
      </w:pPr>
      <w:bookmarkStart w:id="5" w:name="_Toc147494560"/>
      <w:r w:rsidRPr="00D605F5">
        <w:rPr>
          <w:rFonts w:ascii="Arial" w:hAnsi="Arial" w:cs="Arial"/>
          <w:b/>
          <w:bCs/>
          <w:i/>
          <w:iCs/>
        </w:rPr>
        <w:t>There was no co-ordinated multi-agency response to Donna’s needs</w:t>
      </w:r>
      <w:bookmarkEnd w:id="5"/>
      <w:r w:rsidR="00964C65" w:rsidRPr="00D605F5">
        <w:rPr>
          <w:rFonts w:ascii="Arial" w:hAnsi="Arial" w:cs="Arial"/>
          <w:b/>
          <w:bCs/>
        </w:rPr>
        <w:t>:</w:t>
      </w:r>
      <w:r w:rsidR="00964C65" w:rsidRPr="00D605F5">
        <w:rPr>
          <w:rFonts w:ascii="Arial" w:hAnsi="Arial" w:cs="Arial"/>
        </w:rPr>
        <w:t xml:space="preserve">  Whilst there were some examples of multi-agency working and sharing of information, there was no multi-agency meeting to discuss Donna and there was no coordinated multi-agency approach which recognised the full complexity of and interrelationship between Donna’s needs, </w:t>
      </w:r>
      <w:r w:rsidR="00964C65" w:rsidRPr="00D605F5">
        <w:rPr>
          <w:rFonts w:ascii="Arial" w:hAnsi="Arial" w:cs="Arial"/>
          <w:color w:val="000000" w:themeColor="text1"/>
        </w:rPr>
        <w:t xml:space="preserve">circumstances, and risks. </w:t>
      </w:r>
      <w:r w:rsidR="00964C65" w:rsidRPr="00D605F5">
        <w:rPr>
          <w:rFonts w:ascii="Arial" w:hAnsi="Arial" w:cs="Arial"/>
        </w:rPr>
        <w:t>As a result, there was a no coordinated response.</w:t>
      </w:r>
    </w:p>
    <w:p w14:paraId="3233B0E0" w14:textId="77777777" w:rsidR="00DA282F" w:rsidRPr="00D605F5" w:rsidRDefault="00DA282F" w:rsidP="00DA282F">
      <w:pPr>
        <w:pStyle w:val="ListParagraph"/>
        <w:rPr>
          <w:rFonts w:ascii="Arial" w:hAnsi="Arial" w:cs="Arial"/>
          <w:b/>
        </w:rPr>
      </w:pPr>
    </w:p>
    <w:p w14:paraId="48D59A22" w14:textId="4A33360A" w:rsidR="00D80897" w:rsidRPr="00D605F5" w:rsidRDefault="00D80897" w:rsidP="000032D4">
      <w:pPr>
        <w:pStyle w:val="NoSpacing"/>
        <w:numPr>
          <w:ilvl w:val="0"/>
          <w:numId w:val="11"/>
        </w:numPr>
        <w:rPr>
          <w:rFonts w:ascii="Arial" w:hAnsi="Arial" w:cs="Arial"/>
          <w:i/>
          <w:iCs/>
        </w:rPr>
      </w:pPr>
      <w:r w:rsidRPr="00D605F5">
        <w:rPr>
          <w:rFonts w:ascii="Arial" w:hAnsi="Arial" w:cs="Arial"/>
          <w:b/>
          <w:bCs/>
        </w:rPr>
        <w:t>Opportunities to initiate safeguarding enquiries were not taken</w:t>
      </w:r>
      <w:r w:rsidR="00964C65" w:rsidRPr="00D605F5">
        <w:rPr>
          <w:rFonts w:ascii="Arial" w:hAnsi="Arial" w:cs="Arial"/>
          <w:b/>
          <w:bCs/>
          <w:i/>
          <w:iCs/>
        </w:rPr>
        <w:t>:</w:t>
      </w:r>
      <w:r w:rsidR="00964C65" w:rsidRPr="00D605F5">
        <w:rPr>
          <w:rFonts w:ascii="Arial" w:hAnsi="Arial" w:cs="Arial"/>
          <w:i/>
          <w:iCs/>
        </w:rPr>
        <w:t xml:space="preserve"> </w:t>
      </w:r>
      <w:r w:rsidR="00964C65" w:rsidRPr="00D605F5">
        <w:rPr>
          <w:rFonts w:ascii="Arial" w:hAnsi="Arial" w:cs="Arial"/>
        </w:rPr>
        <w:t>Safeguarding enquiries under S42 of the Care Act</w:t>
      </w:r>
      <w:r w:rsidR="00E618B0" w:rsidRPr="00D605F5">
        <w:rPr>
          <w:rFonts w:ascii="Arial" w:hAnsi="Arial" w:cs="Arial"/>
        </w:rPr>
        <w:t xml:space="preserve"> 2014</w:t>
      </w:r>
      <w:r w:rsidR="00964C65" w:rsidRPr="00D605F5">
        <w:rPr>
          <w:rFonts w:ascii="Arial" w:hAnsi="Arial" w:cs="Arial"/>
        </w:rPr>
        <w:t>, or non-statutory enquiries, could have been initiated at various points between March and July 2021 in response to Donna’s deteriorating situation and self-neglect</w:t>
      </w:r>
      <w:r w:rsidR="00A67416" w:rsidRPr="00D605F5">
        <w:rPr>
          <w:rFonts w:ascii="Arial" w:hAnsi="Arial" w:cs="Arial"/>
        </w:rPr>
        <w:t xml:space="preserve">. </w:t>
      </w:r>
      <w:r w:rsidR="00964C65" w:rsidRPr="00D605F5">
        <w:rPr>
          <w:rFonts w:ascii="Arial" w:hAnsi="Arial" w:cs="Arial"/>
        </w:rPr>
        <w:t>Multi-agency planning meetings could have helped to co-ordinate support, information sharing and to explore other strategies to try and effect change.</w:t>
      </w:r>
      <w:r w:rsidRPr="00D605F5">
        <w:rPr>
          <w:rFonts w:ascii="Arial" w:hAnsi="Arial" w:cs="Arial"/>
          <w:i/>
          <w:iCs/>
        </w:rPr>
        <w:tab/>
      </w:r>
    </w:p>
    <w:p w14:paraId="4D48B1F8" w14:textId="78E06862" w:rsidR="00D80897" w:rsidRPr="00D605F5" w:rsidRDefault="00D80897" w:rsidP="00957988">
      <w:pPr>
        <w:tabs>
          <w:tab w:val="left" w:pos="7830"/>
        </w:tabs>
        <w:jc w:val="both"/>
        <w:rPr>
          <w:rFonts w:ascii="Arial" w:hAnsi="Arial" w:cs="Arial"/>
          <w:bCs/>
        </w:rPr>
      </w:pPr>
    </w:p>
    <w:p w14:paraId="6317779A" w14:textId="224760F1" w:rsidR="00D80897" w:rsidRPr="00D605F5" w:rsidRDefault="00D80897" w:rsidP="000032D4">
      <w:pPr>
        <w:pStyle w:val="ListParagraph"/>
        <w:numPr>
          <w:ilvl w:val="0"/>
          <w:numId w:val="11"/>
        </w:numPr>
        <w:jc w:val="both"/>
        <w:rPr>
          <w:rFonts w:ascii="Arial" w:hAnsi="Arial" w:cs="Arial"/>
          <w:bCs/>
        </w:rPr>
      </w:pPr>
      <w:r w:rsidRPr="00D605F5">
        <w:rPr>
          <w:rFonts w:ascii="Arial" w:hAnsi="Arial" w:cs="Arial"/>
          <w:b/>
          <w:i/>
          <w:iCs/>
        </w:rPr>
        <w:t>There was no mental health services input to the assessment and care of Donna</w:t>
      </w:r>
      <w:r w:rsidR="00964C65" w:rsidRPr="00D605F5">
        <w:rPr>
          <w:rFonts w:ascii="Arial" w:hAnsi="Arial" w:cs="Arial"/>
          <w:b/>
          <w:i/>
          <w:iCs/>
        </w:rPr>
        <w:t>:</w:t>
      </w:r>
      <w:r w:rsidR="00964C65" w:rsidRPr="00D605F5">
        <w:rPr>
          <w:rFonts w:ascii="Arial" w:hAnsi="Arial" w:cs="Arial"/>
          <w:bCs/>
        </w:rPr>
        <w:t xml:space="preserve"> </w:t>
      </w:r>
      <w:r w:rsidR="00964C65" w:rsidRPr="00D605F5">
        <w:rPr>
          <w:rFonts w:ascii="Arial" w:hAnsi="Arial" w:cs="Arial"/>
        </w:rPr>
        <w:t>There were reports of Donna’s mental health deteriorating and she may have been suffering from depression, which might have frustrated agencies’ attempts to engage with her. However, there was no referral to mental health services, whose input may have placed another jigsaw piece in Donna’s picture and may have led to a more holistic approach to identifying and meeting her complex care needs</w:t>
      </w:r>
      <w:r w:rsidR="00964C65" w:rsidRPr="00D605F5">
        <w:rPr>
          <w:rFonts w:ascii="Arial" w:hAnsi="Arial" w:cs="Arial"/>
          <w:color w:val="000000" w:themeColor="text1"/>
        </w:rPr>
        <w:t>.</w:t>
      </w:r>
    </w:p>
    <w:p w14:paraId="40249904" w14:textId="570F0D89" w:rsidR="00D80897" w:rsidRPr="00D605F5" w:rsidRDefault="00D80897" w:rsidP="00957988">
      <w:pPr>
        <w:jc w:val="both"/>
        <w:rPr>
          <w:rFonts w:ascii="Arial" w:hAnsi="Arial" w:cs="Arial"/>
          <w:bCs/>
        </w:rPr>
      </w:pPr>
    </w:p>
    <w:p w14:paraId="08A1EB56" w14:textId="4832FBBC" w:rsidR="00D80897" w:rsidRPr="00D605F5" w:rsidRDefault="00D80897" w:rsidP="000032D4">
      <w:pPr>
        <w:pStyle w:val="ListParagraph"/>
        <w:numPr>
          <w:ilvl w:val="0"/>
          <w:numId w:val="11"/>
        </w:numPr>
        <w:jc w:val="both"/>
        <w:rPr>
          <w:rFonts w:ascii="Arial" w:hAnsi="Arial" w:cs="Arial"/>
          <w:bCs/>
        </w:rPr>
      </w:pPr>
      <w:r w:rsidRPr="00D605F5">
        <w:rPr>
          <w:rFonts w:ascii="Arial" w:hAnsi="Arial" w:cs="Arial"/>
          <w:b/>
          <w:i/>
          <w:iCs/>
        </w:rPr>
        <w:t xml:space="preserve">Donna’s mental capacity was </w:t>
      </w:r>
      <w:r w:rsidR="00E618B0" w:rsidRPr="00D605F5">
        <w:rPr>
          <w:rFonts w:ascii="Arial" w:hAnsi="Arial" w:cs="Arial"/>
          <w:b/>
          <w:i/>
          <w:iCs/>
        </w:rPr>
        <w:t xml:space="preserve">not explored </w:t>
      </w:r>
      <w:r w:rsidR="00964C65" w:rsidRPr="00D605F5">
        <w:rPr>
          <w:rFonts w:ascii="Arial" w:hAnsi="Arial" w:cs="Arial"/>
          <w:b/>
          <w:i/>
          <w:iCs/>
        </w:rPr>
        <w:t>:</w:t>
      </w:r>
      <w:r w:rsidR="00964C65" w:rsidRPr="00D605F5">
        <w:rPr>
          <w:rFonts w:ascii="Arial" w:hAnsi="Arial" w:cs="Arial"/>
          <w:bCs/>
        </w:rPr>
        <w:t xml:space="preserve"> </w:t>
      </w:r>
      <w:r w:rsidR="00964C65" w:rsidRPr="00D605F5">
        <w:rPr>
          <w:rFonts w:ascii="Arial" w:hAnsi="Arial" w:cs="Arial"/>
        </w:rPr>
        <w:t>Donna’s mental capacity was not assessed. It is possible that Donna had frontal lobe damage, which could have affected her executive functioning.</w:t>
      </w:r>
    </w:p>
    <w:p w14:paraId="1F5496B0" w14:textId="3FE8ABE6" w:rsidR="00D80897" w:rsidRPr="00D605F5" w:rsidRDefault="00D80897" w:rsidP="00957988">
      <w:pPr>
        <w:jc w:val="both"/>
        <w:rPr>
          <w:rFonts w:ascii="Arial" w:hAnsi="Arial" w:cs="Arial"/>
          <w:bCs/>
        </w:rPr>
      </w:pPr>
    </w:p>
    <w:p w14:paraId="08B2F637" w14:textId="7A9AE3EF" w:rsidR="00D80897" w:rsidRPr="00D605F5" w:rsidRDefault="00D80897" w:rsidP="000032D4">
      <w:pPr>
        <w:pStyle w:val="ListParagraph"/>
        <w:numPr>
          <w:ilvl w:val="0"/>
          <w:numId w:val="11"/>
        </w:numPr>
        <w:jc w:val="both"/>
        <w:rPr>
          <w:rFonts w:ascii="Arial" w:hAnsi="Arial" w:cs="Arial"/>
          <w:bCs/>
        </w:rPr>
      </w:pPr>
      <w:r w:rsidRPr="00D605F5">
        <w:rPr>
          <w:rFonts w:ascii="Arial" w:hAnsi="Arial" w:cs="Arial"/>
          <w:b/>
          <w:i/>
          <w:iCs/>
        </w:rPr>
        <w:t>Working with people who self-neglect</w:t>
      </w:r>
      <w:r w:rsidR="00964C65" w:rsidRPr="00D605F5">
        <w:rPr>
          <w:rFonts w:ascii="Arial" w:hAnsi="Arial" w:cs="Arial"/>
          <w:b/>
          <w:i/>
          <w:iCs/>
        </w:rPr>
        <w:t>:</w:t>
      </w:r>
      <w:r w:rsidR="00964C65" w:rsidRPr="00D605F5">
        <w:rPr>
          <w:rFonts w:ascii="Arial" w:hAnsi="Arial" w:cs="Arial"/>
          <w:bCs/>
        </w:rPr>
        <w:t xml:space="preserve"> </w:t>
      </w:r>
      <w:r w:rsidR="00964C65" w:rsidRPr="00D605F5">
        <w:rPr>
          <w:rFonts w:ascii="Arial" w:hAnsi="Arial" w:cs="Arial"/>
        </w:rPr>
        <w:t xml:space="preserve">Some of the good practice guidelines for working with people who self-neglect was in evidence in the way agencies worked with Donna. However, for the future more attention should be given to seeking to understand the significance of self-neglect, to capitalise on moments of motivation, to understand legal powers and duties and mental capacity, to think flexibly about how family members and community </w:t>
      </w:r>
      <w:r w:rsidR="00964C65" w:rsidRPr="00D605F5">
        <w:rPr>
          <w:rFonts w:ascii="Arial" w:hAnsi="Arial" w:cs="Arial"/>
          <w:color w:val="000000" w:themeColor="text1"/>
        </w:rPr>
        <w:t>resources can contribute to interventions, and to work proactively to engage and co-ordinate agencies with specialist expertise to contribute to shared goals.</w:t>
      </w:r>
    </w:p>
    <w:p w14:paraId="325764C1" w14:textId="5DC10B44" w:rsidR="00351CBA" w:rsidRPr="00D605F5" w:rsidRDefault="00351CBA" w:rsidP="00957988">
      <w:pPr>
        <w:jc w:val="both"/>
        <w:rPr>
          <w:rFonts w:ascii="Arial" w:hAnsi="Arial" w:cs="Arial"/>
          <w:bCs/>
        </w:rPr>
      </w:pPr>
    </w:p>
    <w:p w14:paraId="35BDFEE2" w14:textId="6819F3F9" w:rsidR="00351CBA" w:rsidRPr="00D605F5" w:rsidRDefault="00351CBA" w:rsidP="000032D4">
      <w:pPr>
        <w:pStyle w:val="ListParagraph"/>
        <w:numPr>
          <w:ilvl w:val="0"/>
          <w:numId w:val="11"/>
        </w:numPr>
        <w:jc w:val="both"/>
        <w:rPr>
          <w:rFonts w:ascii="Arial" w:hAnsi="Arial" w:cs="Arial"/>
          <w:bCs/>
          <w:color w:val="000000" w:themeColor="text1"/>
        </w:rPr>
      </w:pPr>
      <w:r w:rsidRPr="00D605F5">
        <w:rPr>
          <w:rFonts w:ascii="Arial" w:hAnsi="Arial" w:cs="Arial"/>
          <w:b/>
          <w:i/>
          <w:iCs/>
          <w:color w:val="000000" w:themeColor="text1"/>
        </w:rPr>
        <w:t>Self-neglect and risk assessment</w:t>
      </w:r>
      <w:r w:rsidR="000F57C1" w:rsidRPr="00D605F5">
        <w:rPr>
          <w:rFonts w:ascii="Arial" w:hAnsi="Arial" w:cs="Arial"/>
          <w:b/>
          <w:i/>
          <w:iCs/>
          <w:color w:val="000000" w:themeColor="text1"/>
        </w:rPr>
        <w:t>:</w:t>
      </w:r>
      <w:r w:rsidR="000F57C1" w:rsidRPr="00D605F5">
        <w:rPr>
          <w:rFonts w:ascii="Arial" w:hAnsi="Arial" w:cs="Arial"/>
          <w:bCs/>
          <w:color w:val="000000" w:themeColor="text1"/>
        </w:rPr>
        <w:t xml:space="preserve"> </w:t>
      </w:r>
      <w:r w:rsidR="000F57C1" w:rsidRPr="00D605F5">
        <w:rPr>
          <w:rFonts w:ascii="Arial" w:hAnsi="Arial" w:cs="Arial"/>
          <w:color w:val="000000" w:themeColor="text1"/>
        </w:rPr>
        <w:t>There was no multi-agency approach to risk assessment. The Sussex Multi-Agency Procedures to Support Adults who Self-Neglect were not instigated, possibly because Donna’s risk of self-neglect was rated as low in care and support needs assessments</w:t>
      </w:r>
      <w:r w:rsidR="00A67416" w:rsidRPr="00D605F5">
        <w:rPr>
          <w:rFonts w:ascii="Arial" w:hAnsi="Arial" w:cs="Arial"/>
          <w:color w:val="000000" w:themeColor="text1"/>
        </w:rPr>
        <w:t xml:space="preserve">. </w:t>
      </w:r>
      <w:r w:rsidR="000F57C1" w:rsidRPr="00D605F5">
        <w:rPr>
          <w:rFonts w:ascii="Arial" w:hAnsi="Arial" w:cs="Arial"/>
          <w:color w:val="000000" w:themeColor="text1"/>
        </w:rPr>
        <w:t xml:space="preserve">Analysis of Donna’s circumstances compared to the eleven factors listed in the Alcohol Change Report and the Andrew SAR </w:t>
      </w:r>
      <w:r w:rsidR="00A65EF7" w:rsidRPr="00D605F5">
        <w:rPr>
          <w:rStyle w:val="FootnoteReference"/>
          <w:rFonts w:ascii="Arial" w:hAnsi="Arial" w:cs="Arial"/>
          <w:color w:val="000000" w:themeColor="text1"/>
        </w:rPr>
        <w:footnoteReference w:id="2"/>
      </w:r>
      <w:r w:rsidR="000F57C1" w:rsidRPr="00D605F5">
        <w:rPr>
          <w:rFonts w:ascii="Arial" w:hAnsi="Arial" w:cs="Arial"/>
          <w:color w:val="000000" w:themeColor="text1"/>
        </w:rPr>
        <w:t xml:space="preserve">(Staffordshire and Stoke, 2022) would have </w:t>
      </w:r>
      <w:r w:rsidR="000F57C1" w:rsidRPr="00D605F5">
        <w:rPr>
          <w:rFonts w:ascii="Arial" w:hAnsi="Arial" w:cs="Arial"/>
          <w:color w:val="000000" w:themeColor="text1"/>
        </w:rPr>
        <w:lastRenderedPageBreak/>
        <w:t>shown that Donna met at least nine of the factors. This may have prompted agencies to have considered Donna as at high risk of self-neglect/harm through alcohol misuse.</w:t>
      </w:r>
    </w:p>
    <w:p w14:paraId="5C60FBB7" w14:textId="0FA57566" w:rsidR="00351CBA" w:rsidRPr="00D605F5" w:rsidRDefault="00351CBA" w:rsidP="00957988">
      <w:pPr>
        <w:jc w:val="both"/>
        <w:rPr>
          <w:rFonts w:ascii="Arial" w:hAnsi="Arial" w:cs="Arial"/>
          <w:bCs/>
          <w:color w:val="000000" w:themeColor="text1"/>
        </w:rPr>
      </w:pPr>
    </w:p>
    <w:p w14:paraId="75F2E667" w14:textId="66F0392E" w:rsidR="00351CBA" w:rsidRPr="00D605F5" w:rsidRDefault="00351CBA" w:rsidP="000032D4">
      <w:pPr>
        <w:pStyle w:val="ListParagraph"/>
        <w:numPr>
          <w:ilvl w:val="0"/>
          <w:numId w:val="11"/>
        </w:numPr>
        <w:jc w:val="both"/>
        <w:rPr>
          <w:rFonts w:ascii="Arial" w:hAnsi="Arial" w:cs="Arial"/>
          <w:b/>
          <w:i/>
          <w:iCs/>
        </w:rPr>
      </w:pPr>
      <w:r w:rsidRPr="00D605F5">
        <w:rPr>
          <w:rFonts w:ascii="Arial" w:hAnsi="Arial" w:cs="Arial"/>
          <w:b/>
          <w:i/>
          <w:iCs/>
        </w:rPr>
        <w:t>Involvement of Donna’s family</w:t>
      </w:r>
      <w:r w:rsidR="000F57C1" w:rsidRPr="00D605F5">
        <w:rPr>
          <w:rFonts w:ascii="Arial" w:hAnsi="Arial" w:cs="Arial"/>
          <w:b/>
          <w:i/>
          <w:iCs/>
        </w:rPr>
        <w:t xml:space="preserve">:  </w:t>
      </w:r>
      <w:r w:rsidR="000F57C1" w:rsidRPr="00D605F5">
        <w:rPr>
          <w:rFonts w:ascii="Arial" w:hAnsi="Arial" w:cs="Arial"/>
        </w:rPr>
        <w:t>There was frequent involvement of family members by services and there was a focus on Donna’s children. ASC could have been more creative in seeking support from family members to help with Donna’s own needs.</w:t>
      </w:r>
    </w:p>
    <w:p w14:paraId="297B0C7C" w14:textId="709ACA35" w:rsidR="00351CBA" w:rsidRPr="00D605F5" w:rsidRDefault="00351CBA" w:rsidP="00957988">
      <w:pPr>
        <w:jc w:val="both"/>
        <w:rPr>
          <w:rFonts w:ascii="Arial" w:hAnsi="Arial" w:cs="Arial"/>
          <w:bCs/>
        </w:rPr>
      </w:pPr>
    </w:p>
    <w:p w14:paraId="37219828" w14:textId="7EC21909" w:rsidR="00351CBA" w:rsidRPr="00D605F5" w:rsidRDefault="00351CBA" w:rsidP="000032D4">
      <w:pPr>
        <w:pStyle w:val="ListParagraph"/>
        <w:numPr>
          <w:ilvl w:val="0"/>
          <w:numId w:val="11"/>
        </w:numPr>
        <w:jc w:val="both"/>
        <w:rPr>
          <w:rFonts w:ascii="Arial" w:hAnsi="Arial" w:cs="Arial"/>
          <w:bCs/>
        </w:rPr>
      </w:pPr>
      <w:r w:rsidRPr="00D605F5">
        <w:rPr>
          <w:rFonts w:ascii="Arial" w:hAnsi="Arial" w:cs="Arial"/>
          <w:b/>
          <w:i/>
          <w:iCs/>
        </w:rPr>
        <w:t>Traumatic events triggering alcohol intake</w:t>
      </w:r>
      <w:r w:rsidR="000F57C1" w:rsidRPr="00D605F5">
        <w:rPr>
          <w:rFonts w:ascii="Arial" w:hAnsi="Arial" w:cs="Arial"/>
          <w:b/>
          <w:i/>
          <w:iCs/>
        </w:rPr>
        <w:t>:</w:t>
      </w:r>
      <w:r w:rsidR="000F57C1" w:rsidRPr="00D605F5">
        <w:rPr>
          <w:rFonts w:ascii="Arial" w:hAnsi="Arial" w:cs="Arial"/>
          <w:bCs/>
        </w:rPr>
        <w:t xml:space="preserve"> </w:t>
      </w:r>
      <w:r w:rsidR="000F57C1" w:rsidRPr="00D605F5">
        <w:rPr>
          <w:rFonts w:ascii="Arial" w:hAnsi="Arial" w:cs="Arial"/>
        </w:rPr>
        <w:t>There was no exploration of the extent to which Donna’s earlier life had exposed her to traumatic events which may have affected Donna or her family.</w:t>
      </w:r>
    </w:p>
    <w:p w14:paraId="7FFAF4B0" w14:textId="598A04F6" w:rsidR="00351CBA" w:rsidRPr="00D605F5" w:rsidRDefault="00351CBA" w:rsidP="00957988">
      <w:pPr>
        <w:jc w:val="both"/>
        <w:rPr>
          <w:rFonts w:ascii="Arial" w:hAnsi="Arial" w:cs="Arial"/>
          <w:bCs/>
        </w:rPr>
      </w:pPr>
    </w:p>
    <w:p w14:paraId="039BB652" w14:textId="2D995024" w:rsidR="00351CBA" w:rsidRPr="00D605F5" w:rsidRDefault="00351CBA" w:rsidP="000032D4">
      <w:pPr>
        <w:pStyle w:val="ListParagraph"/>
        <w:numPr>
          <w:ilvl w:val="0"/>
          <w:numId w:val="11"/>
        </w:numPr>
        <w:jc w:val="both"/>
        <w:rPr>
          <w:rFonts w:ascii="Arial" w:hAnsi="Arial" w:cs="Arial"/>
          <w:bCs/>
        </w:rPr>
      </w:pPr>
      <w:r w:rsidRPr="00D605F5">
        <w:rPr>
          <w:rFonts w:ascii="Arial" w:hAnsi="Arial" w:cs="Arial"/>
          <w:b/>
          <w:i/>
          <w:iCs/>
        </w:rPr>
        <w:t>Under reporting of alcohol consumption</w:t>
      </w:r>
      <w:r w:rsidR="000F57C1" w:rsidRPr="00D605F5">
        <w:rPr>
          <w:rFonts w:ascii="Arial" w:hAnsi="Arial" w:cs="Arial"/>
          <w:b/>
          <w:i/>
          <w:iCs/>
        </w:rPr>
        <w:t xml:space="preserve">: It </w:t>
      </w:r>
      <w:r w:rsidR="000F57C1" w:rsidRPr="00D605F5">
        <w:rPr>
          <w:rFonts w:ascii="Arial" w:hAnsi="Arial" w:cs="Arial"/>
        </w:rPr>
        <w:t>is possible that Donna under-reported her alcohol consumption for a number of reasons including fear that there might be negative consequences for her, for example, in access to her children. This was not explored with Donna.</w:t>
      </w:r>
    </w:p>
    <w:p w14:paraId="4926F3F4" w14:textId="7669B719" w:rsidR="00351CBA" w:rsidRPr="00D605F5" w:rsidRDefault="00351CBA" w:rsidP="00957988">
      <w:pPr>
        <w:jc w:val="both"/>
        <w:rPr>
          <w:rFonts w:ascii="Arial" w:hAnsi="Arial" w:cs="Arial"/>
          <w:bCs/>
        </w:rPr>
      </w:pPr>
    </w:p>
    <w:p w14:paraId="3CA52A15" w14:textId="25AC84B9" w:rsidR="00351CBA" w:rsidRPr="00D605F5" w:rsidRDefault="00351CBA" w:rsidP="000032D4">
      <w:pPr>
        <w:pStyle w:val="ListParagraph"/>
        <w:numPr>
          <w:ilvl w:val="0"/>
          <w:numId w:val="11"/>
        </w:numPr>
        <w:jc w:val="both"/>
        <w:rPr>
          <w:rFonts w:ascii="Arial" w:hAnsi="Arial" w:cs="Arial"/>
          <w:b/>
          <w:i/>
          <w:iCs/>
        </w:rPr>
      </w:pPr>
      <w:r w:rsidRPr="00D605F5">
        <w:rPr>
          <w:rFonts w:ascii="Arial" w:hAnsi="Arial" w:cs="Arial"/>
          <w:b/>
          <w:i/>
          <w:iCs/>
        </w:rPr>
        <w:t>Processes for referrals and identifying Donna’s care and support needs were not executed in a timely manner</w:t>
      </w:r>
      <w:r w:rsidR="000F57C1" w:rsidRPr="00D605F5">
        <w:rPr>
          <w:rFonts w:ascii="Arial" w:hAnsi="Arial" w:cs="Arial"/>
          <w:b/>
          <w:i/>
          <w:iCs/>
        </w:rPr>
        <w:t>:</w:t>
      </w:r>
      <w:r w:rsidR="00BF5074" w:rsidRPr="00D605F5">
        <w:rPr>
          <w:rFonts w:ascii="Arial" w:hAnsi="Arial" w:cs="Arial"/>
        </w:rPr>
        <w:t xml:space="preserve"> There were delays in assessing Donna’s needs and this resulted in considerable time lapsing before a care package was put in place</w:t>
      </w:r>
      <w:r w:rsidR="00A67416" w:rsidRPr="00D605F5">
        <w:rPr>
          <w:rFonts w:ascii="Arial" w:hAnsi="Arial" w:cs="Arial"/>
        </w:rPr>
        <w:t xml:space="preserve">. </w:t>
      </w:r>
      <w:r w:rsidR="00BF5074" w:rsidRPr="00D605F5">
        <w:rPr>
          <w:rFonts w:ascii="Arial" w:hAnsi="Arial" w:cs="Arial"/>
          <w:color w:val="000000" w:themeColor="text1"/>
        </w:rPr>
        <w:t>Further support to Donna’s carer may have been available had other agencies been informed of the safeguarding concerns raised.</w:t>
      </w:r>
    </w:p>
    <w:p w14:paraId="50A223A8" w14:textId="77777777" w:rsidR="00351CBA" w:rsidRPr="00D605F5" w:rsidRDefault="00351CBA" w:rsidP="00957988">
      <w:pPr>
        <w:jc w:val="both"/>
        <w:rPr>
          <w:rFonts w:ascii="Arial" w:hAnsi="Arial" w:cs="Arial"/>
        </w:rPr>
      </w:pPr>
    </w:p>
    <w:p w14:paraId="66AA1329" w14:textId="235F46A8" w:rsidR="00351CBA" w:rsidRPr="00D605F5" w:rsidRDefault="00351CBA" w:rsidP="000032D4">
      <w:pPr>
        <w:pStyle w:val="Heading1"/>
        <w:numPr>
          <w:ilvl w:val="0"/>
          <w:numId w:val="10"/>
        </w:numPr>
        <w:jc w:val="both"/>
        <w:rPr>
          <w:rFonts w:ascii="Arial" w:hAnsi="Arial" w:cs="Arial"/>
          <w:color w:val="000000" w:themeColor="text1"/>
          <w:sz w:val="24"/>
          <w:szCs w:val="24"/>
        </w:rPr>
      </w:pPr>
      <w:bookmarkStart w:id="6" w:name="_Toc78276438"/>
      <w:bookmarkStart w:id="7" w:name="_Toc106806944"/>
      <w:bookmarkStart w:id="8" w:name="_Toc147494561"/>
      <w:r w:rsidRPr="00D605F5">
        <w:rPr>
          <w:rFonts w:ascii="Arial" w:hAnsi="Arial" w:cs="Arial"/>
          <w:sz w:val="24"/>
          <w:szCs w:val="24"/>
        </w:rPr>
        <w:t>R</w:t>
      </w:r>
      <w:bookmarkEnd w:id="6"/>
      <w:bookmarkEnd w:id="7"/>
      <w:bookmarkEnd w:id="8"/>
      <w:r w:rsidR="00065615" w:rsidRPr="00D605F5">
        <w:rPr>
          <w:rFonts w:ascii="Arial" w:hAnsi="Arial" w:cs="Arial"/>
          <w:sz w:val="24"/>
          <w:szCs w:val="24"/>
        </w:rPr>
        <w:t>ecommendations</w:t>
      </w:r>
    </w:p>
    <w:p w14:paraId="25AE0B80" w14:textId="77777777" w:rsidR="00351CBA" w:rsidRPr="00D605F5" w:rsidRDefault="00351CBA" w:rsidP="00957988">
      <w:pPr>
        <w:jc w:val="both"/>
        <w:rPr>
          <w:rFonts w:ascii="Arial" w:hAnsi="Arial" w:cs="Arial"/>
          <w:color w:val="000000" w:themeColor="text1"/>
        </w:rPr>
      </w:pPr>
    </w:p>
    <w:p w14:paraId="20FBEDCA" w14:textId="0D00D7EC" w:rsidR="00351CBA" w:rsidRPr="00D605F5" w:rsidRDefault="00351CBA" w:rsidP="000032D4">
      <w:pPr>
        <w:pStyle w:val="Heading1"/>
        <w:jc w:val="both"/>
        <w:rPr>
          <w:rFonts w:ascii="Arial" w:hAnsi="Arial" w:cs="Arial"/>
          <w:b w:val="0"/>
          <w:i/>
          <w:iCs/>
          <w:color w:val="000000" w:themeColor="text1"/>
          <w:sz w:val="24"/>
          <w:szCs w:val="24"/>
        </w:rPr>
      </w:pPr>
      <w:bookmarkStart w:id="9" w:name="_Toc147494562"/>
      <w:r w:rsidRPr="00D605F5">
        <w:rPr>
          <w:rFonts w:ascii="Arial" w:hAnsi="Arial" w:cs="Arial"/>
          <w:color w:val="000000" w:themeColor="text1"/>
          <w:sz w:val="24"/>
          <w:szCs w:val="24"/>
        </w:rPr>
        <w:t>Recommendation 1</w:t>
      </w:r>
      <w:r w:rsidRPr="00D605F5">
        <w:rPr>
          <w:rFonts w:ascii="Arial" w:hAnsi="Arial" w:cs="Arial"/>
          <w:b w:val="0"/>
          <w:color w:val="000000" w:themeColor="text1"/>
          <w:sz w:val="24"/>
          <w:szCs w:val="24"/>
        </w:rPr>
        <w:t xml:space="preserve">: </w:t>
      </w:r>
      <w:r w:rsidRPr="00D605F5">
        <w:rPr>
          <w:rFonts w:ascii="Arial" w:hAnsi="Arial" w:cs="Arial"/>
          <w:b w:val="0"/>
          <w:i/>
          <w:iCs/>
          <w:color w:val="000000" w:themeColor="text1"/>
          <w:sz w:val="24"/>
          <w:szCs w:val="24"/>
        </w:rPr>
        <w:t>Partner agencies should review the application of multi-agency safeguarding and risk management processes to ensure that individuals who are at risk and have complex needs are recognised and considered at a multi-agency level.</w:t>
      </w:r>
      <w:bookmarkEnd w:id="9"/>
    </w:p>
    <w:p w14:paraId="12B30508" w14:textId="77777777" w:rsidR="000032D4" w:rsidRPr="00D605F5" w:rsidRDefault="000032D4" w:rsidP="000032D4">
      <w:pPr>
        <w:rPr>
          <w:rFonts w:ascii="Arial" w:hAnsi="Arial" w:cs="Arial"/>
          <w:b/>
          <w:bCs/>
          <w:lang w:eastAsia="en-GB"/>
        </w:rPr>
      </w:pPr>
    </w:p>
    <w:p w14:paraId="5BF57B12" w14:textId="77777777" w:rsidR="00351CBA" w:rsidRPr="00D605F5" w:rsidRDefault="00351CBA" w:rsidP="00957988">
      <w:pPr>
        <w:pStyle w:val="Heading1"/>
        <w:jc w:val="both"/>
        <w:rPr>
          <w:rFonts w:ascii="Arial" w:hAnsi="Arial" w:cs="Arial"/>
          <w:b w:val="0"/>
          <w:color w:val="000000" w:themeColor="text1"/>
          <w:sz w:val="24"/>
          <w:szCs w:val="24"/>
        </w:rPr>
      </w:pPr>
      <w:bookmarkStart w:id="10" w:name="_Toc147494565"/>
      <w:r w:rsidRPr="00D605F5">
        <w:rPr>
          <w:rFonts w:ascii="Arial" w:hAnsi="Arial" w:cs="Arial"/>
          <w:bCs/>
          <w:color w:val="000000" w:themeColor="text1"/>
          <w:sz w:val="24"/>
          <w:szCs w:val="24"/>
        </w:rPr>
        <w:t xml:space="preserve">Recommendation 2: </w:t>
      </w:r>
      <w:r w:rsidRPr="00D605F5">
        <w:rPr>
          <w:rFonts w:ascii="Arial" w:hAnsi="Arial" w:cs="Arial"/>
          <w:b w:val="0"/>
          <w:i/>
          <w:iCs/>
          <w:color w:val="000000" w:themeColor="text1"/>
          <w:sz w:val="24"/>
          <w:szCs w:val="24"/>
        </w:rPr>
        <w:t>Partner agencies should promote an understanding amongst practitioners of the relationship and interplay between alcohol misuse and self-neglect and when and how safeguarding referrals and enquiries related to alcohol use and self-neglect should be instigated</w:t>
      </w:r>
      <w:r w:rsidRPr="00D605F5">
        <w:rPr>
          <w:rFonts w:ascii="Arial" w:hAnsi="Arial" w:cs="Arial"/>
          <w:b w:val="0"/>
          <w:color w:val="000000" w:themeColor="text1"/>
          <w:sz w:val="24"/>
          <w:szCs w:val="24"/>
        </w:rPr>
        <w:t>.</w:t>
      </w:r>
      <w:bookmarkEnd w:id="10"/>
    </w:p>
    <w:p w14:paraId="78406249" w14:textId="77777777" w:rsidR="00351CBA" w:rsidRPr="00D605F5" w:rsidRDefault="00351CBA" w:rsidP="00957988">
      <w:pPr>
        <w:pStyle w:val="Heading1"/>
        <w:jc w:val="both"/>
        <w:rPr>
          <w:rFonts w:ascii="Arial" w:hAnsi="Arial" w:cs="Arial"/>
          <w:b w:val="0"/>
          <w:i/>
          <w:iCs/>
          <w:color w:val="000000" w:themeColor="text1"/>
          <w:sz w:val="24"/>
          <w:szCs w:val="24"/>
        </w:rPr>
      </w:pPr>
      <w:bookmarkStart w:id="11" w:name="_Toc106806948"/>
      <w:bookmarkStart w:id="12" w:name="_Toc147494568"/>
      <w:r w:rsidRPr="00D605F5">
        <w:rPr>
          <w:rFonts w:ascii="Arial" w:hAnsi="Arial" w:cs="Arial"/>
          <w:bCs/>
          <w:color w:val="000000" w:themeColor="text1"/>
          <w:sz w:val="24"/>
          <w:szCs w:val="24"/>
        </w:rPr>
        <w:t xml:space="preserve">Recommendation 3: </w:t>
      </w:r>
      <w:bookmarkEnd w:id="11"/>
      <w:r w:rsidRPr="00D605F5">
        <w:rPr>
          <w:rFonts w:ascii="Arial" w:hAnsi="Arial" w:cs="Arial"/>
          <w:b w:val="0"/>
          <w:i/>
          <w:iCs/>
          <w:color w:val="000000" w:themeColor="text1"/>
          <w:sz w:val="24"/>
          <w:szCs w:val="24"/>
        </w:rPr>
        <w:t>Partner agencies should ensure that non-mental health professionals have a b</w:t>
      </w:r>
      <w:r w:rsidRPr="00D605F5">
        <w:rPr>
          <w:rFonts w:ascii="Arial" w:hAnsi="Arial" w:cs="Arial"/>
          <w:b w:val="0"/>
          <w:i/>
          <w:iCs/>
          <w:sz w:val="24"/>
          <w:szCs w:val="24"/>
        </w:rPr>
        <w:t>road understanding of the full range of mental health services available, so that when working with clients in their own specialist capacity, non-mental health professionals can recognise those with potential mental health needs and are equipped with effective strategies for</w:t>
      </w:r>
      <w:r w:rsidRPr="00D605F5">
        <w:rPr>
          <w:rFonts w:ascii="Arial" w:hAnsi="Arial" w:cs="Arial"/>
          <w:b w:val="0"/>
          <w:sz w:val="24"/>
          <w:szCs w:val="24"/>
        </w:rPr>
        <w:t xml:space="preserve"> </w:t>
      </w:r>
      <w:r w:rsidRPr="00D605F5">
        <w:rPr>
          <w:rFonts w:ascii="Arial" w:hAnsi="Arial" w:cs="Arial"/>
          <w:b w:val="0"/>
          <w:i/>
          <w:iCs/>
          <w:sz w:val="24"/>
          <w:szCs w:val="24"/>
        </w:rPr>
        <w:t>motivating clients to contact and engage with mental hea</w:t>
      </w:r>
      <w:r w:rsidRPr="00D605F5">
        <w:rPr>
          <w:rFonts w:ascii="Arial" w:hAnsi="Arial" w:cs="Arial"/>
          <w:b w:val="0"/>
          <w:i/>
          <w:iCs/>
          <w:color w:val="000000" w:themeColor="text1"/>
          <w:sz w:val="24"/>
          <w:szCs w:val="24"/>
        </w:rPr>
        <w:t>lth provision.</w:t>
      </w:r>
      <w:bookmarkEnd w:id="12"/>
      <w:r w:rsidRPr="00D605F5">
        <w:rPr>
          <w:rFonts w:ascii="Arial" w:hAnsi="Arial" w:cs="Arial"/>
          <w:b w:val="0"/>
          <w:i/>
          <w:iCs/>
          <w:color w:val="000000" w:themeColor="text1"/>
          <w:sz w:val="24"/>
          <w:szCs w:val="24"/>
        </w:rPr>
        <w:t xml:space="preserve"> </w:t>
      </w:r>
    </w:p>
    <w:p w14:paraId="27AF3615" w14:textId="4002D1F8" w:rsidR="00351CBA" w:rsidRPr="00D605F5" w:rsidRDefault="00351CBA" w:rsidP="00957988">
      <w:pPr>
        <w:pStyle w:val="Heading1"/>
        <w:jc w:val="both"/>
        <w:rPr>
          <w:rFonts w:ascii="Arial" w:hAnsi="Arial" w:cs="Arial"/>
          <w:b w:val="0"/>
          <w:bCs/>
          <w:i/>
          <w:iCs/>
          <w:color w:val="000000" w:themeColor="text1"/>
          <w:sz w:val="24"/>
          <w:szCs w:val="24"/>
        </w:rPr>
      </w:pPr>
      <w:bookmarkStart w:id="13" w:name="_Toc147494571"/>
      <w:r w:rsidRPr="00D605F5">
        <w:rPr>
          <w:rFonts w:ascii="Arial" w:hAnsi="Arial" w:cs="Arial"/>
          <w:color w:val="000000" w:themeColor="text1"/>
          <w:sz w:val="24"/>
          <w:szCs w:val="24"/>
        </w:rPr>
        <w:t>Recommendation 4</w:t>
      </w:r>
      <w:r w:rsidRPr="00D605F5">
        <w:rPr>
          <w:rFonts w:ascii="Arial" w:hAnsi="Arial" w:cs="Arial"/>
          <w:b w:val="0"/>
          <w:color w:val="000000" w:themeColor="text1"/>
          <w:sz w:val="24"/>
          <w:szCs w:val="24"/>
        </w:rPr>
        <w:t xml:space="preserve">: </w:t>
      </w:r>
      <w:r w:rsidRPr="00D605F5">
        <w:rPr>
          <w:rFonts w:ascii="Arial" w:hAnsi="Arial" w:cs="Arial"/>
          <w:b w:val="0"/>
          <w:i/>
          <w:iCs/>
          <w:color w:val="000000" w:themeColor="text1"/>
          <w:sz w:val="24"/>
          <w:szCs w:val="24"/>
        </w:rPr>
        <w:t xml:space="preserve">Partner agencies should improve legal literacy amongst practitioners, including knowledge of the role of the Court of Protection, </w:t>
      </w:r>
      <w:r w:rsidR="00E618B0" w:rsidRPr="00D605F5">
        <w:rPr>
          <w:rFonts w:ascii="Arial" w:hAnsi="Arial" w:cs="Arial"/>
          <w:b w:val="0"/>
          <w:i/>
          <w:iCs/>
          <w:color w:val="000000" w:themeColor="text1"/>
          <w:sz w:val="24"/>
          <w:szCs w:val="24"/>
        </w:rPr>
        <w:t xml:space="preserve">the inherent </w:t>
      </w:r>
      <w:r w:rsidR="00E618B0" w:rsidRPr="00D605F5">
        <w:rPr>
          <w:rFonts w:ascii="Arial" w:hAnsi="Arial" w:cs="Arial"/>
          <w:b w:val="0"/>
          <w:i/>
          <w:iCs/>
          <w:color w:val="000000" w:themeColor="text1"/>
          <w:sz w:val="24"/>
          <w:szCs w:val="24"/>
        </w:rPr>
        <w:lastRenderedPageBreak/>
        <w:t xml:space="preserve">jurisdiction </w:t>
      </w:r>
      <w:r w:rsidRPr="00D605F5">
        <w:rPr>
          <w:rFonts w:ascii="Arial" w:hAnsi="Arial" w:cs="Arial"/>
          <w:b w:val="0"/>
          <w:i/>
          <w:iCs/>
          <w:color w:val="000000" w:themeColor="text1"/>
          <w:sz w:val="24"/>
          <w:szCs w:val="24"/>
        </w:rPr>
        <w:t>the Human Rights Act, and the Mental Capacity Act with particular reference to the effects of alcohol and frontal lobe damage may have on capacity</w:t>
      </w:r>
      <w:r w:rsidRPr="00D605F5">
        <w:rPr>
          <w:rFonts w:ascii="Arial" w:hAnsi="Arial" w:cs="Arial"/>
          <w:bCs/>
          <w:i/>
          <w:iCs/>
          <w:color w:val="000000" w:themeColor="text1"/>
          <w:sz w:val="24"/>
          <w:szCs w:val="24"/>
        </w:rPr>
        <w:t>.</w:t>
      </w:r>
      <w:bookmarkEnd w:id="13"/>
    </w:p>
    <w:p w14:paraId="3975A8B3" w14:textId="77777777" w:rsidR="00351CBA" w:rsidRPr="00D605F5" w:rsidRDefault="00351CBA" w:rsidP="00957988">
      <w:pPr>
        <w:jc w:val="both"/>
        <w:rPr>
          <w:rFonts w:ascii="Arial" w:hAnsi="Arial" w:cs="Arial"/>
          <w:color w:val="000000" w:themeColor="text1"/>
        </w:rPr>
      </w:pPr>
    </w:p>
    <w:p w14:paraId="71D5AB46" w14:textId="77777777" w:rsidR="00351CBA" w:rsidRPr="00D605F5" w:rsidRDefault="00351CBA" w:rsidP="00957988">
      <w:pPr>
        <w:pStyle w:val="Heading1"/>
        <w:jc w:val="both"/>
        <w:rPr>
          <w:rFonts w:ascii="Arial" w:hAnsi="Arial" w:cs="Arial"/>
          <w:b w:val="0"/>
          <w:bCs/>
          <w:color w:val="000000" w:themeColor="text1"/>
          <w:sz w:val="24"/>
          <w:szCs w:val="24"/>
        </w:rPr>
      </w:pPr>
      <w:bookmarkStart w:id="14" w:name="_Toc147494573"/>
      <w:r w:rsidRPr="00D605F5">
        <w:rPr>
          <w:rFonts w:ascii="Arial" w:hAnsi="Arial" w:cs="Arial"/>
          <w:color w:val="000000" w:themeColor="text1"/>
          <w:sz w:val="24"/>
          <w:szCs w:val="24"/>
        </w:rPr>
        <w:t xml:space="preserve">Recommendation 5: </w:t>
      </w:r>
      <w:r w:rsidRPr="00D605F5">
        <w:rPr>
          <w:rFonts w:ascii="Arial" w:hAnsi="Arial" w:cs="Arial"/>
          <w:b w:val="0"/>
          <w:bCs/>
          <w:i/>
          <w:iCs/>
          <w:color w:val="000000" w:themeColor="text1"/>
          <w:sz w:val="24"/>
          <w:szCs w:val="24"/>
        </w:rPr>
        <w:t>Partner agencies should use the characteristics associated with alcohol dependency outlined in section 5 of this report when formulating risk assessments.</w:t>
      </w:r>
      <w:bookmarkEnd w:id="14"/>
    </w:p>
    <w:p w14:paraId="72736E7D" w14:textId="77777777" w:rsidR="00351CBA" w:rsidRPr="00D605F5" w:rsidRDefault="00351CBA" w:rsidP="00957988">
      <w:pPr>
        <w:pStyle w:val="Heading1"/>
        <w:jc w:val="both"/>
        <w:rPr>
          <w:rFonts w:ascii="Arial" w:hAnsi="Arial" w:cs="Arial"/>
          <w:b w:val="0"/>
          <w:bCs/>
          <w:i/>
          <w:iCs/>
          <w:sz w:val="24"/>
          <w:szCs w:val="24"/>
        </w:rPr>
      </w:pPr>
      <w:bookmarkStart w:id="15" w:name="_Toc147494575"/>
      <w:r w:rsidRPr="00D605F5">
        <w:rPr>
          <w:rFonts w:ascii="Arial" w:hAnsi="Arial" w:cs="Arial"/>
          <w:sz w:val="24"/>
          <w:szCs w:val="24"/>
        </w:rPr>
        <w:t xml:space="preserve">Recommendation 6: </w:t>
      </w:r>
      <w:r w:rsidRPr="00D605F5">
        <w:rPr>
          <w:rFonts w:ascii="Arial" w:hAnsi="Arial" w:cs="Arial"/>
          <w:b w:val="0"/>
          <w:bCs/>
          <w:i/>
          <w:iCs/>
          <w:sz w:val="24"/>
          <w:szCs w:val="24"/>
        </w:rPr>
        <w:t>Partner agencies should identify how a ‘Think Family’ approach could be used to involve family members in supporting people who are substance dependent.</w:t>
      </w:r>
      <w:bookmarkEnd w:id="15"/>
    </w:p>
    <w:p w14:paraId="17CA8696" w14:textId="421CD19E" w:rsidR="00351CBA" w:rsidRPr="00D605F5" w:rsidRDefault="00351CBA" w:rsidP="00957988">
      <w:pPr>
        <w:pStyle w:val="Heading1"/>
        <w:jc w:val="both"/>
        <w:rPr>
          <w:rFonts w:ascii="Arial" w:hAnsi="Arial" w:cs="Arial"/>
          <w:b w:val="0"/>
          <w:bCs/>
          <w:i/>
          <w:iCs/>
          <w:color w:val="000000" w:themeColor="text1"/>
          <w:sz w:val="24"/>
          <w:szCs w:val="24"/>
        </w:rPr>
      </w:pPr>
      <w:bookmarkStart w:id="16" w:name="_Toc147494579"/>
      <w:r w:rsidRPr="00D605F5">
        <w:rPr>
          <w:rFonts w:ascii="Arial" w:hAnsi="Arial" w:cs="Arial"/>
          <w:sz w:val="24"/>
          <w:szCs w:val="24"/>
        </w:rPr>
        <w:t xml:space="preserve">Recommendation 7: </w:t>
      </w:r>
      <w:r w:rsidRPr="00D605F5">
        <w:rPr>
          <w:rFonts w:ascii="Arial" w:hAnsi="Arial" w:cs="Arial"/>
          <w:b w:val="0"/>
          <w:bCs/>
          <w:i/>
          <w:iCs/>
          <w:sz w:val="24"/>
          <w:szCs w:val="24"/>
        </w:rPr>
        <w:t xml:space="preserve">Partner agencies should promote history taking and the exploration of life experiences that </w:t>
      </w:r>
      <w:r w:rsidR="00E618B0" w:rsidRPr="00D605F5">
        <w:rPr>
          <w:rFonts w:ascii="Arial" w:hAnsi="Arial" w:cs="Arial"/>
          <w:b w:val="0"/>
          <w:bCs/>
          <w:i/>
          <w:iCs/>
          <w:sz w:val="24"/>
          <w:szCs w:val="24"/>
        </w:rPr>
        <w:t xml:space="preserve">may </w:t>
      </w:r>
      <w:r w:rsidRPr="00D605F5">
        <w:rPr>
          <w:rFonts w:ascii="Arial" w:hAnsi="Arial" w:cs="Arial"/>
          <w:b w:val="0"/>
          <w:bCs/>
          <w:i/>
          <w:iCs/>
          <w:sz w:val="24"/>
          <w:szCs w:val="24"/>
        </w:rPr>
        <w:t>have triggered self-neglect and alcohol misuse (and substance abuse) and encourage the use of trauma-informed approaches by practitioners.</w:t>
      </w:r>
      <w:bookmarkEnd w:id="16"/>
    </w:p>
    <w:p w14:paraId="0BEE8751" w14:textId="3B574BEB" w:rsidR="00351CBA" w:rsidRPr="00D605F5" w:rsidRDefault="00351CBA" w:rsidP="00957988">
      <w:pPr>
        <w:pStyle w:val="Heading1"/>
        <w:jc w:val="both"/>
        <w:rPr>
          <w:rFonts w:ascii="Arial" w:hAnsi="Arial" w:cs="Arial"/>
          <w:b w:val="0"/>
          <w:bCs/>
          <w:i/>
          <w:iCs/>
          <w:color w:val="000000" w:themeColor="text1"/>
          <w:sz w:val="24"/>
          <w:szCs w:val="24"/>
        </w:rPr>
      </w:pPr>
      <w:bookmarkStart w:id="17" w:name="_Toc147494582"/>
      <w:r w:rsidRPr="00D605F5">
        <w:rPr>
          <w:rFonts w:ascii="Arial" w:hAnsi="Arial" w:cs="Arial"/>
          <w:color w:val="000000" w:themeColor="text1"/>
          <w:sz w:val="24"/>
          <w:szCs w:val="24"/>
        </w:rPr>
        <w:t xml:space="preserve">Recommendation 8: </w:t>
      </w:r>
      <w:r w:rsidRPr="00D605F5">
        <w:rPr>
          <w:rFonts w:ascii="Arial" w:hAnsi="Arial" w:cs="Arial"/>
          <w:b w:val="0"/>
          <w:bCs/>
          <w:i/>
          <w:iCs/>
          <w:color w:val="000000" w:themeColor="text1"/>
          <w:sz w:val="24"/>
          <w:szCs w:val="24"/>
        </w:rPr>
        <w:t xml:space="preserve">Partner agencies should consider the relationship and interplay between the self-reporting of alcohol intake (and substance </w:t>
      </w:r>
      <w:r w:rsidR="00E618B0" w:rsidRPr="00D605F5">
        <w:rPr>
          <w:rFonts w:ascii="Arial" w:hAnsi="Arial" w:cs="Arial"/>
          <w:b w:val="0"/>
          <w:bCs/>
          <w:i/>
          <w:iCs/>
          <w:color w:val="000000" w:themeColor="text1"/>
          <w:sz w:val="24"/>
          <w:szCs w:val="24"/>
        </w:rPr>
        <w:t>mis</w:t>
      </w:r>
      <w:r w:rsidRPr="00D605F5">
        <w:rPr>
          <w:rFonts w:ascii="Arial" w:hAnsi="Arial" w:cs="Arial"/>
          <w:b w:val="0"/>
          <w:bCs/>
          <w:i/>
          <w:iCs/>
          <w:color w:val="000000" w:themeColor="text1"/>
          <w:sz w:val="24"/>
          <w:szCs w:val="24"/>
        </w:rPr>
        <w:t>use) and consequences for individuals in other aspects of their lives (for example, family life) and consider how individuals may be engaged with and reassured about accurate self-reporting.</w:t>
      </w:r>
      <w:bookmarkEnd w:id="17"/>
      <w:r w:rsidRPr="00D605F5">
        <w:rPr>
          <w:rFonts w:ascii="Arial" w:hAnsi="Arial" w:cs="Arial"/>
          <w:b w:val="0"/>
          <w:bCs/>
          <w:i/>
          <w:iCs/>
          <w:color w:val="000000" w:themeColor="text1"/>
          <w:sz w:val="24"/>
          <w:szCs w:val="24"/>
        </w:rPr>
        <w:t xml:space="preserve"> </w:t>
      </w:r>
    </w:p>
    <w:p w14:paraId="643EFD92" w14:textId="77777777" w:rsidR="00351CBA" w:rsidRPr="00D605F5" w:rsidRDefault="00351CBA" w:rsidP="00957988">
      <w:pPr>
        <w:pStyle w:val="Heading1"/>
        <w:jc w:val="both"/>
        <w:rPr>
          <w:rFonts w:ascii="Arial" w:hAnsi="Arial" w:cs="Arial"/>
          <w:b w:val="0"/>
          <w:bCs/>
          <w:i/>
          <w:iCs/>
          <w:color w:val="000000" w:themeColor="text1"/>
          <w:sz w:val="24"/>
          <w:szCs w:val="24"/>
        </w:rPr>
      </w:pPr>
      <w:bookmarkStart w:id="18" w:name="_Toc147494584"/>
      <w:r w:rsidRPr="00D605F5">
        <w:rPr>
          <w:rFonts w:ascii="Arial" w:hAnsi="Arial" w:cs="Arial"/>
          <w:i/>
          <w:iCs/>
          <w:color w:val="000000" w:themeColor="text1"/>
          <w:sz w:val="24"/>
          <w:szCs w:val="24"/>
        </w:rPr>
        <w:t xml:space="preserve">Recommendation 9: </w:t>
      </w:r>
      <w:r w:rsidRPr="00D605F5">
        <w:rPr>
          <w:rFonts w:ascii="Arial" w:hAnsi="Arial" w:cs="Arial"/>
          <w:b w:val="0"/>
          <w:i/>
          <w:iCs/>
          <w:color w:val="000000" w:themeColor="text1"/>
          <w:sz w:val="24"/>
          <w:szCs w:val="24"/>
        </w:rPr>
        <w:t>Children’s Services should identify how it can share information about safeguarding concerns with appropriate specialist agencies, which could then offer support to children and young carers including those whose caring roles will extend into adulthood, in addition to the support offered by Children’s Services themselves.</w:t>
      </w:r>
      <w:bookmarkEnd w:id="18"/>
      <w:r w:rsidRPr="00D605F5">
        <w:rPr>
          <w:rFonts w:ascii="Arial" w:hAnsi="Arial" w:cs="Arial"/>
          <w:b w:val="0"/>
          <w:i/>
          <w:iCs/>
          <w:color w:val="000000" w:themeColor="text1"/>
          <w:sz w:val="24"/>
          <w:szCs w:val="24"/>
        </w:rPr>
        <w:t xml:space="preserve"> </w:t>
      </w:r>
    </w:p>
    <w:p w14:paraId="5CA64862" w14:textId="6C145CC6" w:rsidR="00351CBA" w:rsidRPr="00D605F5" w:rsidRDefault="00351CBA" w:rsidP="00BF5074">
      <w:pPr>
        <w:pStyle w:val="Heading1"/>
        <w:jc w:val="both"/>
        <w:rPr>
          <w:rFonts w:ascii="Arial" w:hAnsi="Arial" w:cs="Arial"/>
          <w:b w:val="0"/>
          <w:bCs/>
          <w:i/>
          <w:iCs/>
          <w:color w:val="000000" w:themeColor="text1"/>
          <w:sz w:val="24"/>
          <w:szCs w:val="24"/>
        </w:rPr>
      </w:pPr>
      <w:bookmarkStart w:id="19" w:name="_Toc147494586"/>
      <w:r w:rsidRPr="00D605F5">
        <w:rPr>
          <w:rFonts w:ascii="Arial" w:hAnsi="Arial" w:cs="Arial"/>
          <w:color w:val="000000" w:themeColor="text1"/>
          <w:sz w:val="24"/>
          <w:szCs w:val="24"/>
        </w:rPr>
        <w:t>Recommendation 10</w:t>
      </w:r>
      <w:r w:rsidRPr="00D605F5">
        <w:rPr>
          <w:rFonts w:ascii="Arial" w:hAnsi="Arial" w:cs="Arial"/>
          <w:b w:val="0"/>
          <w:color w:val="000000" w:themeColor="text1"/>
          <w:sz w:val="24"/>
          <w:szCs w:val="24"/>
        </w:rPr>
        <w:t xml:space="preserve">:  </w:t>
      </w:r>
      <w:r w:rsidRPr="00D605F5">
        <w:rPr>
          <w:rFonts w:ascii="Arial" w:hAnsi="Arial" w:cs="Arial"/>
          <w:b w:val="0"/>
          <w:i/>
          <w:iCs/>
          <w:color w:val="000000" w:themeColor="text1"/>
          <w:sz w:val="24"/>
          <w:szCs w:val="24"/>
        </w:rPr>
        <w:t>The ESSAB should request an update on the Local Alcohol    Reduction Strategy from the Director of Public Health, East Sussex.</w:t>
      </w:r>
      <w:bookmarkEnd w:id="19"/>
    </w:p>
    <w:p w14:paraId="62C14252" w14:textId="1A369DE0" w:rsidR="00EB6A22" w:rsidRPr="00D605F5" w:rsidRDefault="00EB6A22" w:rsidP="00EB6A22">
      <w:pPr>
        <w:rPr>
          <w:rFonts w:ascii="Arial" w:hAnsi="Arial" w:cs="Arial"/>
          <w:lang w:eastAsia="en-GB"/>
        </w:rPr>
      </w:pPr>
    </w:p>
    <w:sectPr w:rsidR="00EB6A22" w:rsidRPr="00D605F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96D2" w14:textId="77777777" w:rsidR="002236D6" w:rsidRDefault="002236D6" w:rsidP="00F13836">
      <w:r>
        <w:separator/>
      </w:r>
    </w:p>
  </w:endnote>
  <w:endnote w:type="continuationSeparator" w:id="0">
    <w:p w14:paraId="00CCF450" w14:textId="77777777" w:rsidR="002236D6" w:rsidRDefault="002236D6" w:rsidP="00F1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183941"/>
      <w:docPartObj>
        <w:docPartGallery w:val="Page Numbers (Bottom of Page)"/>
        <w:docPartUnique/>
      </w:docPartObj>
    </w:sdtPr>
    <w:sdtEndPr>
      <w:rPr>
        <w:noProof/>
      </w:rPr>
    </w:sdtEndPr>
    <w:sdtContent>
      <w:p w14:paraId="2F1EEF0E" w14:textId="1EBF77B1" w:rsidR="00602B00" w:rsidRDefault="00602B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7B6291" w14:textId="77777777" w:rsidR="00602B00" w:rsidRDefault="00602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C77A" w14:textId="77777777" w:rsidR="002236D6" w:rsidRDefault="002236D6" w:rsidP="00F13836">
      <w:r>
        <w:separator/>
      </w:r>
    </w:p>
  </w:footnote>
  <w:footnote w:type="continuationSeparator" w:id="0">
    <w:p w14:paraId="1B34AEAA" w14:textId="77777777" w:rsidR="002236D6" w:rsidRDefault="002236D6" w:rsidP="00F13836">
      <w:r>
        <w:continuationSeparator/>
      </w:r>
    </w:p>
  </w:footnote>
  <w:footnote w:id="1">
    <w:p w14:paraId="5C5195AA" w14:textId="6E30371A" w:rsidR="00760446" w:rsidRPr="00760446" w:rsidRDefault="00760446">
      <w:pPr>
        <w:pStyle w:val="FootnoteText"/>
        <w:rPr>
          <w:rFonts w:ascii="Trebuchet MS" w:hAnsi="Trebuchet MS"/>
        </w:rPr>
      </w:pPr>
      <w:r w:rsidRPr="00760446">
        <w:rPr>
          <w:rStyle w:val="FootnoteReference"/>
          <w:rFonts w:ascii="Trebuchet MS" w:hAnsi="Trebuchet MS"/>
        </w:rPr>
        <w:footnoteRef/>
      </w:r>
      <w:r w:rsidRPr="00760446">
        <w:rPr>
          <w:rFonts w:ascii="Trebuchet MS" w:hAnsi="Trebuchet MS"/>
        </w:rPr>
        <w:t xml:space="preserve"> https://alcoholchange.org.uk/publication/learning-from-tragedies-an-analysis-of-alcohol-related-safeguarding-adult-reviews-published-in-2017</w:t>
      </w:r>
    </w:p>
  </w:footnote>
  <w:footnote w:id="2">
    <w:p w14:paraId="0BE7358F" w14:textId="7295E203" w:rsidR="00A65EF7" w:rsidRPr="00A65EF7" w:rsidRDefault="00A65EF7">
      <w:pPr>
        <w:pStyle w:val="FootnoteText"/>
        <w:rPr>
          <w:rFonts w:ascii="Trebuchet MS" w:hAnsi="Trebuchet MS"/>
        </w:rPr>
      </w:pPr>
      <w:r w:rsidRPr="00A65EF7">
        <w:rPr>
          <w:rStyle w:val="FootnoteReference"/>
          <w:rFonts w:ascii="Trebuchet MS" w:hAnsi="Trebuchet MS"/>
        </w:rPr>
        <w:footnoteRef/>
      </w:r>
      <w:r w:rsidRPr="00A65EF7">
        <w:rPr>
          <w:rFonts w:ascii="Trebuchet MS" w:hAnsi="Trebuchet MS"/>
        </w:rPr>
        <w:t xml:space="preserve"> https://nationalnetwork.org.uk/2022/Andrew-SAR-Report-Final.pdf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AB13" w14:textId="69DF98E7" w:rsidR="00602B00" w:rsidRPr="00602B00" w:rsidRDefault="00602B00">
    <w:pPr>
      <w:pStyle w:val="Header"/>
      <w:rPr>
        <w:rFonts w:ascii="Arial" w:hAnsi="Arial" w:cs="Arial"/>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7F6"/>
    <w:multiLevelType w:val="multilevel"/>
    <w:tmpl w:val="55564E4A"/>
    <w:styleLink w:val="CurrentList2"/>
    <w:lvl w:ilvl="0">
      <w:start w:val="2"/>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7853731"/>
    <w:multiLevelType w:val="multilevel"/>
    <w:tmpl w:val="7D2EC5A8"/>
    <w:styleLink w:val="CurrentList1"/>
    <w:lvl w:ilvl="0">
      <w:start w:val="2"/>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371F32"/>
    <w:multiLevelType w:val="multilevel"/>
    <w:tmpl w:val="61CA13AE"/>
    <w:styleLink w:val="CurrentList4"/>
    <w:lvl w:ilvl="0">
      <w:start w:val="2"/>
      <w:numFmt w:val="decimal"/>
      <w:lvlText w:val="%1.0"/>
      <w:lvlJc w:val="left"/>
      <w:pPr>
        <w:ind w:left="360" w:hanging="7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60E3D07"/>
    <w:multiLevelType w:val="hybridMultilevel"/>
    <w:tmpl w:val="0220F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F02C4"/>
    <w:multiLevelType w:val="hybridMultilevel"/>
    <w:tmpl w:val="340A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818C5"/>
    <w:multiLevelType w:val="hybridMultilevel"/>
    <w:tmpl w:val="E1B8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C4E4E"/>
    <w:multiLevelType w:val="multilevel"/>
    <w:tmpl w:val="61E2B896"/>
    <w:styleLink w:val="CurrentList3"/>
    <w:lvl w:ilvl="0">
      <w:start w:val="2"/>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94C58D7"/>
    <w:multiLevelType w:val="multilevel"/>
    <w:tmpl w:val="542EF672"/>
    <w:styleLink w:val="CurrentList6"/>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6641AAB"/>
    <w:multiLevelType w:val="multilevel"/>
    <w:tmpl w:val="2AF66C46"/>
    <w:styleLink w:val="CurrentList5"/>
    <w:lvl w:ilvl="0">
      <w:start w:val="2"/>
      <w:numFmt w:val="decimal"/>
      <w:lvlText w:val="%1.0"/>
      <w:lvlJc w:val="left"/>
      <w:pPr>
        <w:ind w:left="20" w:hanging="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900" w:hanging="108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80" w:hanging="1800"/>
      </w:pPr>
      <w:rPr>
        <w:rFonts w:hint="default"/>
      </w:rPr>
    </w:lvl>
    <w:lvl w:ilvl="7">
      <w:start w:val="1"/>
      <w:numFmt w:val="decimal"/>
      <w:lvlText w:val="%1.%2.%3.%4.%5.%6.%7.%8"/>
      <w:lvlJc w:val="left"/>
      <w:pPr>
        <w:ind w:left="6500" w:hanging="1800"/>
      </w:pPr>
      <w:rPr>
        <w:rFonts w:hint="default"/>
      </w:rPr>
    </w:lvl>
    <w:lvl w:ilvl="8">
      <w:start w:val="1"/>
      <w:numFmt w:val="decimal"/>
      <w:lvlText w:val="%1.%2.%3.%4.%5.%6.%7.%8.%9"/>
      <w:lvlJc w:val="left"/>
      <w:pPr>
        <w:ind w:left="7580" w:hanging="2160"/>
      </w:pPr>
      <w:rPr>
        <w:rFonts w:hint="default"/>
      </w:rPr>
    </w:lvl>
  </w:abstractNum>
  <w:abstractNum w:abstractNumId="9" w15:restartNumberingAfterBreak="0">
    <w:nsid w:val="474F0D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46639D"/>
    <w:multiLevelType w:val="hybridMultilevel"/>
    <w:tmpl w:val="AF222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E7752"/>
    <w:multiLevelType w:val="multilevel"/>
    <w:tmpl w:val="542EF672"/>
    <w:styleLink w:val="CurrentList7"/>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71046479">
    <w:abstractNumId w:val="1"/>
  </w:num>
  <w:num w:numId="2" w16cid:durableId="1964922799">
    <w:abstractNumId w:val="0"/>
  </w:num>
  <w:num w:numId="3" w16cid:durableId="691759748">
    <w:abstractNumId w:val="6"/>
  </w:num>
  <w:num w:numId="4" w16cid:durableId="353848356">
    <w:abstractNumId w:val="2"/>
  </w:num>
  <w:num w:numId="5" w16cid:durableId="969169542">
    <w:abstractNumId w:val="8"/>
  </w:num>
  <w:num w:numId="6" w16cid:durableId="353641">
    <w:abstractNumId w:val="7"/>
  </w:num>
  <w:num w:numId="7" w16cid:durableId="1277055382">
    <w:abstractNumId w:val="11"/>
  </w:num>
  <w:num w:numId="8" w16cid:durableId="253783834">
    <w:abstractNumId w:val="3"/>
  </w:num>
  <w:num w:numId="9" w16cid:durableId="1159613180">
    <w:abstractNumId w:val="9"/>
  </w:num>
  <w:num w:numId="10" w16cid:durableId="1457330286">
    <w:abstractNumId w:val="10"/>
  </w:num>
  <w:num w:numId="11" w16cid:durableId="1344747130">
    <w:abstractNumId w:val="4"/>
  </w:num>
  <w:num w:numId="12" w16cid:durableId="210811517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36"/>
    <w:rsid w:val="00002E17"/>
    <w:rsid w:val="000032D4"/>
    <w:rsid w:val="000040EA"/>
    <w:rsid w:val="00017EC6"/>
    <w:rsid w:val="00024C86"/>
    <w:rsid w:val="00025379"/>
    <w:rsid w:val="00025554"/>
    <w:rsid w:val="000407F9"/>
    <w:rsid w:val="00041C20"/>
    <w:rsid w:val="00042E11"/>
    <w:rsid w:val="00052F3E"/>
    <w:rsid w:val="00061C9C"/>
    <w:rsid w:val="00065615"/>
    <w:rsid w:val="00075CE2"/>
    <w:rsid w:val="000774A9"/>
    <w:rsid w:val="00080AE9"/>
    <w:rsid w:val="00095FFE"/>
    <w:rsid w:val="00096045"/>
    <w:rsid w:val="00097928"/>
    <w:rsid w:val="000B69CA"/>
    <w:rsid w:val="000C4FD3"/>
    <w:rsid w:val="000C5099"/>
    <w:rsid w:val="000E7227"/>
    <w:rsid w:val="000F57C1"/>
    <w:rsid w:val="0010277F"/>
    <w:rsid w:val="00103B7B"/>
    <w:rsid w:val="00106CED"/>
    <w:rsid w:val="001413D9"/>
    <w:rsid w:val="00144297"/>
    <w:rsid w:val="001600A3"/>
    <w:rsid w:val="00163D04"/>
    <w:rsid w:val="001673FB"/>
    <w:rsid w:val="0017425F"/>
    <w:rsid w:val="00180493"/>
    <w:rsid w:val="00191DBD"/>
    <w:rsid w:val="00194E36"/>
    <w:rsid w:val="00195D80"/>
    <w:rsid w:val="001A76C0"/>
    <w:rsid w:val="001C1478"/>
    <w:rsid w:val="001D0BD4"/>
    <w:rsid w:val="001D3168"/>
    <w:rsid w:val="001D32AE"/>
    <w:rsid w:val="001D5CB5"/>
    <w:rsid w:val="001F531F"/>
    <w:rsid w:val="001F63BA"/>
    <w:rsid w:val="001F6F3C"/>
    <w:rsid w:val="0020069E"/>
    <w:rsid w:val="00210A63"/>
    <w:rsid w:val="00217E57"/>
    <w:rsid w:val="00221B7F"/>
    <w:rsid w:val="00222D63"/>
    <w:rsid w:val="002236D6"/>
    <w:rsid w:val="00230DB2"/>
    <w:rsid w:val="00232DA1"/>
    <w:rsid w:val="0024709C"/>
    <w:rsid w:val="002507BC"/>
    <w:rsid w:val="00253700"/>
    <w:rsid w:val="00267EFA"/>
    <w:rsid w:val="00274AF4"/>
    <w:rsid w:val="00287ABC"/>
    <w:rsid w:val="002A3158"/>
    <w:rsid w:val="002B08EF"/>
    <w:rsid w:val="002B625D"/>
    <w:rsid w:val="002C038A"/>
    <w:rsid w:val="002E7119"/>
    <w:rsid w:val="002F1C81"/>
    <w:rsid w:val="002F45B4"/>
    <w:rsid w:val="003003FD"/>
    <w:rsid w:val="00306624"/>
    <w:rsid w:val="003158C3"/>
    <w:rsid w:val="0031681C"/>
    <w:rsid w:val="003170BC"/>
    <w:rsid w:val="003248A0"/>
    <w:rsid w:val="0033371B"/>
    <w:rsid w:val="003370B8"/>
    <w:rsid w:val="0033780D"/>
    <w:rsid w:val="003427D6"/>
    <w:rsid w:val="003437C0"/>
    <w:rsid w:val="00343E1D"/>
    <w:rsid w:val="00351CBA"/>
    <w:rsid w:val="003523ED"/>
    <w:rsid w:val="00354DD6"/>
    <w:rsid w:val="003742D8"/>
    <w:rsid w:val="003746AC"/>
    <w:rsid w:val="00396052"/>
    <w:rsid w:val="003A12AE"/>
    <w:rsid w:val="003B3FFB"/>
    <w:rsid w:val="003C70D7"/>
    <w:rsid w:val="003F75DD"/>
    <w:rsid w:val="0040631B"/>
    <w:rsid w:val="004118DA"/>
    <w:rsid w:val="00412039"/>
    <w:rsid w:val="004233A6"/>
    <w:rsid w:val="00430558"/>
    <w:rsid w:val="004448B9"/>
    <w:rsid w:val="0044693D"/>
    <w:rsid w:val="004472B2"/>
    <w:rsid w:val="0045314D"/>
    <w:rsid w:val="004573F0"/>
    <w:rsid w:val="004578B9"/>
    <w:rsid w:val="00462FE2"/>
    <w:rsid w:val="0047085C"/>
    <w:rsid w:val="00474E16"/>
    <w:rsid w:val="00480ABB"/>
    <w:rsid w:val="004912E6"/>
    <w:rsid w:val="004924AA"/>
    <w:rsid w:val="00495B8C"/>
    <w:rsid w:val="004A11AE"/>
    <w:rsid w:val="004B067E"/>
    <w:rsid w:val="004B537B"/>
    <w:rsid w:val="004C7756"/>
    <w:rsid w:val="004D0B73"/>
    <w:rsid w:val="004D1209"/>
    <w:rsid w:val="004D15EE"/>
    <w:rsid w:val="004D7D43"/>
    <w:rsid w:val="004E1120"/>
    <w:rsid w:val="004F37EF"/>
    <w:rsid w:val="00520ABE"/>
    <w:rsid w:val="005301BA"/>
    <w:rsid w:val="0053413A"/>
    <w:rsid w:val="005342A3"/>
    <w:rsid w:val="00545422"/>
    <w:rsid w:val="00554271"/>
    <w:rsid w:val="005546B3"/>
    <w:rsid w:val="00555799"/>
    <w:rsid w:val="00584D6B"/>
    <w:rsid w:val="00586BBE"/>
    <w:rsid w:val="005968B7"/>
    <w:rsid w:val="005A2628"/>
    <w:rsid w:val="005B7BDA"/>
    <w:rsid w:val="005C0B92"/>
    <w:rsid w:val="005D45D7"/>
    <w:rsid w:val="005F6004"/>
    <w:rsid w:val="00600C5C"/>
    <w:rsid w:val="00600C9B"/>
    <w:rsid w:val="00602B00"/>
    <w:rsid w:val="006179C1"/>
    <w:rsid w:val="00621C4B"/>
    <w:rsid w:val="00624F8D"/>
    <w:rsid w:val="00625498"/>
    <w:rsid w:val="0062650E"/>
    <w:rsid w:val="00634B4A"/>
    <w:rsid w:val="00645E51"/>
    <w:rsid w:val="00655A81"/>
    <w:rsid w:val="00667C56"/>
    <w:rsid w:val="00675187"/>
    <w:rsid w:val="00687D45"/>
    <w:rsid w:val="00690AE1"/>
    <w:rsid w:val="00692A97"/>
    <w:rsid w:val="006B6E6A"/>
    <w:rsid w:val="006B79F0"/>
    <w:rsid w:val="006C5BD8"/>
    <w:rsid w:val="006D5B35"/>
    <w:rsid w:val="006E0AAD"/>
    <w:rsid w:val="006E0D36"/>
    <w:rsid w:val="006F04E1"/>
    <w:rsid w:val="006F5F89"/>
    <w:rsid w:val="006F72D4"/>
    <w:rsid w:val="00706A07"/>
    <w:rsid w:val="00713766"/>
    <w:rsid w:val="007321BA"/>
    <w:rsid w:val="00742ED8"/>
    <w:rsid w:val="0074703C"/>
    <w:rsid w:val="00753620"/>
    <w:rsid w:val="00753AD8"/>
    <w:rsid w:val="00757237"/>
    <w:rsid w:val="00760446"/>
    <w:rsid w:val="00762B82"/>
    <w:rsid w:val="00764E9B"/>
    <w:rsid w:val="00791264"/>
    <w:rsid w:val="00791A86"/>
    <w:rsid w:val="007A362B"/>
    <w:rsid w:val="007B4B20"/>
    <w:rsid w:val="007B6B57"/>
    <w:rsid w:val="007C4339"/>
    <w:rsid w:val="007D2FD9"/>
    <w:rsid w:val="007F0B3F"/>
    <w:rsid w:val="00803E8D"/>
    <w:rsid w:val="00807B62"/>
    <w:rsid w:val="008177CC"/>
    <w:rsid w:val="008362B5"/>
    <w:rsid w:val="00836313"/>
    <w:rsid w:val="00842E18"/>
    <w:rsid w:val="00843F50"/>
    <w:rsid w:val="00855B6E"/>
    <w:rsid w:val="008577FA"/>
    <w:rsid w:val="0085789E"/>
    <w:rsid w:val="008642B4"/>
    <w:rsid w:val="0087195E"/>
    <w:rsid w:val="00873A38"/>
    <w:rsid w:val="00882A1A"/>
    <w:rsid w:val="0088404A"/>
    <w:rsid w:val="00891C5A"/>
    <w:rsid w:val="008B64C7"/>
    <w:rsid w:val="008B65DD"/>
    <w:rsid w:val="008B7671"/>
    <w:rsid w:val="008C0142"/>
    <w:rsid w:val="008C17F0"/>
    <w:rsid w:val="008C1A2F"/>
    <w:rsid w:val="008C6D36"/>
    <w:rsid w:val="008D09B7"/>
    <w:rsid w:val="008D17CE"/>
    <w:rsid w:val="008E100A"/>
    <w:rsid w:val="008E1CB3"/>
    <w:rsid w:val="008F074B"/>
    <w:rsid w:val="008F452C"/>
    <w:rsid w:val="00907B5B"/>
    <w:rsid w:val="00907EC9"/>
    <w:rsid w:val="00917DA3"/>
    <w:rsid w:val="0092456E"/>
    <w:rsid w:val="00950850"/>
    <w:rsid w:val="009568E1"/>
    <w:rsid w:val="00957988"/>
    <w:rsid w:val="00963D52"/>
    <w:rsid w:val="0096478D"/>
    <w:rsid w:val="00964C65"/>
    <w:rsid w:val="00964E40"/>
    <w:rsid w:val="00965070"/>
    <w:rsid w:val="00965E44"/>
    <w:rsid w:val="00971007"/>
    <w:rsid w:val="00993C1F"/>
    <w:rsid w:val="009977CF"/>
    <w:rsid w:val="009D6DD7"/>
    <w:rsid w:val="009E4883"/>
    <w:rsid w:val="009F0890"/>
    <w:rsid w:val="00A16C03"/>
    <w:rsid w:val="00A17766"/>
    <w:rsid w:val="00A313C7"/>
    <w:rsid w:val="00A352DE"/>
    <w:rsid w:val="00A410DB"/>
    <w:rsid w:val="00A46E98"/>
    <w:rsid w:val="00A55E83"/>
    <w:rsid w:val="00A63D90"/>
    <w:rsid w:val="00A642E3"/>
    <w:rsid w:val="00A65EF7"/>
    <w:rsid w:val="00A66BC7"/>
    <w:rsid w:val="00A67416"/>
    <w:rsid w:val="00A803D1"/>
    <w:rsid w:val="00A923BE"/>
    <w:rsid w:val="00AA5047"/>
    <w:rsid w:val="00AB2C91"/>
    <w:rsid w:val="00AB54FE"/>
    <w:rsid w:val="00AD1392"/>
    <w:rsid w:val="00AD2A4E"/>
    <w:rsid w:val="00AE0F8F"/>
    <w:rsid w:val="00AF33E7"/>
    <w:rsid w:val="00AF511E"/>
    <w:rsid w:val="00B01E52"/>
    <w:rsid w:val="00B02707"/>
    <w:rsid w:val="00B100B3"/>
    <w:rsid w:val="00B23E52"/>
    <w:rsid w:val="00B258C8"/>
    <w:rsid w:val="00B31998"/>
    <w:rsid w:val="00B32AEE"/>
    <w:rsid w:val="00B33E4B"/>
    <w:rsid w:val="00B342F5"/>
    <w:rsid w:val="00B4234A"/>
    <w:rsid w:val="00B43206"/>
    <w:rsid w:val="00B538BB"/>
    <w:rsid w:val="00B64F85"/>
    <w:rsid w:val="00B65610"/>
    <w:rsid w:val="00B66328"/>
    <w:rsid w:val="00B71C55"/>
    <w:rsid w:val="00B81380"/>
    <w:rsid w:val="00B95E71"/>
    <w:rsid w:val="00BA5E95"/>
    <w:rsid w:val="00BA7235"/>
    <w:rsid w:val="00BC6877"/>
    <w:rsid w:val="00BE123F"/>
    <w:rsid w:val="00BE2C16"/>
    <w:rsid w:val="00BF5074"/>
    <w:rsid w:val="00C00FC7"/>
    <w:rsid w:val="00C15069"/>
    <w:rsid w:val="00C25259"/>
    <w:rsid w:val="00C26355"/>
    <w:rsid w:val="00C312F5"/>
    <w:rsid w:val="00C377D4"/>
    <w:rsid w:val="00C42659"/>
    <w:rsid w:val="00C44197"/>
    <w:rsid w:val="00C46062"/>
    <w:rsid w:val="00C475DF"/>
    <w:rsid w:val="00C50D28"/>
    <w:rsid w:val="00C61370"/>
    <w:rsid w:val="00C71CF6"/>
    <w:rsid w:val="00C83001"/>
    <w:rsid w:val="00C85CD7"/>
    <w:rsid w:val="00C9686C"/>
    <w:rsid w:val="00CA2A4C"/>
    <w:rsid w:val="00CB52E7"/>
    <w:rsid w:val="00CB6F3A"/>
    <w:rsid w:val="00CC4B94"/>
    <w:rsid w:val="00CD398E"/>
    <w:rsid w:val="00D01924"/>
    <w:rsid w:val="00D15976"/>
    <w:rsid w:val="00D33276"/>
    <w:rsid w:val="00D34D4F"/>
    <w:rsid w:val="00D4401D"/>
    <w:rsid w:val="00D53E3A"/>
    <w:rsid w:val="00D605F5"/>
    <w:rsid w:val="00D669BB"/>
    <w:rsid w:val="00D80897"/>
    <w:rsid w:val="00D83F04"/>
    <w:rsid w:val="00DA282F"/>
    <w:rsid w:val="00DA4AA2"/>
    <w:rsid w:val="00DA76C6"/>
    <w:rsid w:val="00DB6953"/>
    <w:rsid w:val="00DC048A"/>
    <w:rsid w:val="00DC29B6"/>
    <w:rsid w:val="00DE5BBF"/>
    <w:rsid w:val="00DE7B2E"/>
    <w:rsid w:val="00DF0053"/>
    <w:rsid w:val="00E018C8"/>
    <w:rsid w:val="00E17AFA"/>
    <w:rsid w:val="00E347D8"/>
    <w:rsid w:val="00E57833"/>
    <w:rsid w:val="00E618B0"/>
    <w:rsid w:val="00E70E8D"/>
    <w:rsid w:val="00E82D83"/>
    <w:rsid w:val="00E82E6D"/>
    <w:rsid w:val="00E8532F"/>
    <w:rsid w:val="00E95FA5"/>
    <w:rsid w:val="00EA283D"/>
    <w:rsid w:val="00EB0E3C"/>
    <w:rsid w:val="00EB28DA"/>
    <w:rsid w:val="00EB6A22"/>
    <w:rsid w:val="00EB794B"/>
    <w:rsid w:val="00EC718D"/>
    <w:rsid w:val="00ED33C2"/>
    <w:rsid w:val="00ED3BC6"/>
    <w:rsid w:val="00EE0BE9"/>
    <w:rsid w:val="00EF53E7"/>
    <w:rsid w:val="00F00233"/>
    <w:rsid w:val="00F05142"/>
    <w:rsid w:val="00F13836"/>
    <w:rsid w:val="00F13AD5"/>
    <w:rsid w:val="00F15173"/>
    <w:rsid w:val="00F1773C"/>
    <w:rsid w:val="00F219A4"/>
    <w:rsid w:val="00F223C5"/>
    <w:rsid w:val="00F4265D"/>
    <w:rsid w:val="00F42B5C"/>
    <w:rsid w:val="00F45AD2"/>
    <w:rsid w:val="00F508AB"/>
    <w:rsid w:val="00F551A5"/>
    <w:rsid w:val="00F600F7"/>
    <w:rsid w:val="00F74D0C"/>
    <w:rsid w:val="00F75136"/>
    <w:rsid w:val="00F80AD9"/>
    <w:rsid w:val="00F83A38"/>
    <w:rsid w:val="00F86976"/>
    <w:rsid w:val="00FA3329"/>
    <w:rsid w:val="00FD1125"/>
    <w:rsid w:val="00FD59BD"/>
    <w:rsid w:val="00FE195C"/>
    <w:rsid w:val="00FE2F7F"/>
    <w:rsid w:val="00FE4549"/>
    <w:rsid w:val="00FF0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0E99C"/>
  <w15:chartTrackingRefBased/>
  <w15:docId w15:val="{9C46270B-E85A-2B4B-AC27-3CB86044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836"/>
    <w:pPr>
      <w:spacing w:after="200" w:line="276" w:lineRule="auto"/>
      <w:outlineLvl w:val="0"/>
    </w:pPr>
    <w:rPr>
      <w:rFonts w:ascii="Verdana" w:eastAsia="Calibri" w:hAnsi="Verdana" w:cs="Times New Roman"/>
      <w:b/>
      <w:sz w:val="72"/>
      <w:szCs w:val="22"/>
      <w:lang w:eastAsia="en-GB"/>
    </w:rPr>
  </w:style>
  <w:style w:type="paragraph" w:styleId="Heading2">
    <w:name w:val="heading 2"/>
    <w:basedOn w:val="Normal"/>
    <w:next w:val="Normal"/>
    <w:link w:val="Heading2Char"/>
    <w:uiPriority w:val="9"/>
    <w:unhideWhenUsed/>
    <w:qFormat/>
    <w:rsid w:val="00F13836"/>
    <w:pPr>
      <w:autoSpaceDE w:val="0"/>
      <w:autoSpaceDN w:val="0"/>
      <w:adjustRightInd w:val="0"/>
      <w:outlineLvl w:val="1"/>
    </w:pPr>
    <w:rPr>
      <w:rFonts w:ascii="Arial" w:eastAsia="Calibri" w:hAnsi="Arial" w:cs="Arial"/>
      <w:b/>
      <w:bCs/>
      <w:color w:val="B45608"/>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836"/>
    <w:rPr>
      <w:rFonts w:ascii="Verdana" w:eastAsia="Calibri" w:hAnsi="Verdana" w:cs="Times New Roman"/>
      <w:b/>
      <w:sz w:val="72"/>
      <w:szCs w:val="22"/>
      <w:lang w:eastAsia="en-GB"/>
    </w:rPr>
  </w:style>
  <w:style w:type="character" w:customStyle="1" w:styleId="Heading2Char">
    <w:name w:val="Heading 2 Char"/>
    <w:basedOn w:val="DefaultParagraphFont"/>
    <w:link w:val="Heading2"/>
    <w:uiPriority w:val="9"/>
    <w:rsid w:val="00F13836"/>
    <w:rPr>
      <w:rFonts w:ascii="Arial" w:eastAsia="Calibri" w:hAnsi="Arial" w:cs="Arial"/>
      <w:b/>
      <w:bCs/>
      <w:color w:val="B45608"/>
      <w:sz w:val="32"/>
      <w:szCs w:val="32"/>
      <w:lang w:eastAsia="en-GB"/>
    </w:rPr>
  </w:style>
  <w:style w:type="paragraph" w:styleId="ListParagraph">
    <w:name w:val="List Paragraph"/>
    <w:basedOn w:val="Normal"/>
    <w:uiPriority w:val="34"/>
    <w:qFormat/>
    <w:rsid w:val="00F13836"/>
    <w:pPr>
      <w:ind w:left="720"/>
      <w:contextualSpacing/>
    </w:pPr>
    <w:rPr>
      <w:rFonts w:ascii="Times New Roman" w:eastAsia="Times New Roman" w:hAnsi="Times New Roman" w:cs="Times New Roman"/>
      <w:lang w:eastAsia="en-GB"/>
    </w:rPr>
  </w:style>
  <w:style w:type="numbering" w:customStyle="1" w:styleId="CurrentList1">
    <w:name w:val="Current List1"/>
    <w:uiPriority w:val="99"/>
    <w:rsid w:val="00F13836"/>
    <w:pPr>
      <w:numPr>
        <w:numId w:val="1"/>
      </w:numPr>
    </w:pPr>
  </w:style>
  <w:style w:type="numbering" w:customStyle="1" w:styleId="CurrentList2">
    <w:name w:val="Current List2"/>
    <w:uiPriority w:val="99"/>
    <w:rsid w:val="00F13836"/>
    <w:pPr>
      <w:numPr>
        <w:numId w:val="2"/>
      </w:numPr>
    </w:pPr>
  </w:style>
  <w:style w:type="numbering" w:customStyle="1" w:styleId="CurrentList3">
    <w:name w:val="Current List3"/>
    <w:uiPriority w:val="99"/>
    <w:rsid w:val="00F13836"/>
    <w:pPr>
      <w:numPr>
        <w:numId w:val="3"/>
      </w:numPr>
    </w:pPr>
  </w:style>
  <w:style w:type="numbering" w:customStyle="1" w:styleId="CurrentList4">
    <w:name w:val="Current List4"/>
    <w:uiPriority w:val="99"/>
    <w:rsid w:val="00F13836"/>
    <w:pPr>
      <w:numPr>
        <w:numId w:val="4"/>
      </w:numPr>
    </w:pPr>
  </w:style>
  <w:style w:type="numbering" w:customStyle="1" w:styleId="CurrentList5">
    <w:name w:val="Current List5"/>
    <w:uiPriority w:val="99"/>
    <w:rsid w:val="00F13836"/>
    <w:pPr>
      <w:numPr>
        <w:numId w:val="5"/>
      </w:numPr>
    </w:pPr>
  </w:style>
  <w:style w:type="numbering" w:customStyle="1" w:styleId="CurrentList6">
    <w:name w:val="Current List6"/>
    <w:uiPriority w:val="99"/>
    <w:rsid w:val="00F13836"/>
    <w:pPr>
      <w:numPr>
        <w:numId w:val="6"/>
      </w:numPr>
    </w:pPr>
  </w:style>
  <w:style w:type="numbering" w:customStyle="1" w:styleId="CurrentList7">
    <w:name w:val="Current List7"/>
    <w:uiPriority w:val="99"/>
    <w:rsid w:val="00F13836"/>
    <w:pPr>
      <w:numPr>
        <w:numId w:val="7"/>
      </w:numPr>
    </w:pPr>
  </w:style>
  <w:style w:type="paragraph" w:styleId="NormalWeb">
    <w:name w:val="Normal (Web)"/>
    <w:basedOn w:val="Normal"/>
    <w:uiPriority w:val="99"/>
    <w:unhideWhenUsed/>
    <w:rsid w:val="00F1383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F13836"/>
    <w:rPr>
      <w:color w:val="0000FF"/>
      <w:u w:val="single"/>
    </w:rPr>
  </w:style>
  <w:style w:type="paragraph" w:styleId="FootnoteText">
    <w:name w:val="footnote text"/>
    <w:basedOn w:val="Normal"/>
    <w:link w:val="FootnoteTextChar"/>
    <w:uiPriority w:val="99"/>
    <w:unhideWhenUsed/>
    <w:rsid w:val="00F13836"/>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F1383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13836"/>
    <w:rPr>
      <w:vertAlign w:val="superscript"/>
    </w:rPr>
  </w:style>
  <w:style w:type="table" w:styleId="TableGrid">
    <w:name w:val="Table Grid"/>
    <w:basedOn w:val="TableNormal"/>
    <w:uiPriority w:val="39"/>
    <w:rsid w:val="00F13836"/>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3836"/>
    <w:pPr>
      <w:tabs>
        <w:tab w:val="center" w:pos="4513"/>
        <w:tab w:val="right" w:pos="9026"/>
      </w:tabs>
    </w:pPr>
    <w:rPr>
      <w:rFonts w:ascii="Calibri" w:eastAsia="Calibri" w:hAnsi="Calibri" w:cs="Times New Roman"/>
      <w:sz w:val="22"/>
      <w:szCs w:val="22"/>
      <w:lang w:eastAsia="en-GB"/>
    </w:rPr>
  </w:style>
  <w:style w:type="character" w:customStyle="1" w:styleId="HeaderChar">
    <w:name w:val="Header Char"/>
    <w:basedOn w:val="DefaultParagraphFont"/>
    <w:link w:val="Header"/>
    <w:uiPriority w:val="99"/>
    <w:rsid w:val="00F13836"/>
    <w:rPr>
      <w:rFonts w:ascii="Calibri" w:eastAsia="Calibri" w:hAnsi="Calibri" w:cs="Times New Roman"/>
      <w:sz w:val="22"/>
      <w:szCs w:val="22"/>
      <w:lang w:eastAsia="en-GB"/>
    </w:rPr>
  </w:style>
  <w:style w:type="paragraph" w:styleId="Footer">
    <w:name w:val="footer"/>
    <w:basedOn w:val="Normal"/>
    <w:link w:val="FooterChar"/>
    <w:uiPriority w:val="99"/>
    <w:unhideWhenUsed/>
    <w:rsid w:val="00F13836"/>
    <w:pPr>
      <w:tabs>
        <w:tab w:val="center" w:pos="4513"/>
        <w:tab w:val="right" w:pos="9026"/>
      </w:tabs>
    </w:pPr>
    <w:rPr>
      <w:rFonts w:ascii="Calibri" w:eastAsia="Calibri" w:hAnsi="Calibri" w:cs="Times New Roman"/>
      <w:sz w:val="22"/>
      <w:szCs w:val="22"/>
      <w:lang w:eastAsia="en-GB"/>
    </w:rPr>
  </w:style>
  <w:style w:type="character" w:customStyle="1" w:styleId="FooterChar">
    <w:name w:val="Footer Char"/>
    <w:basedOn w:val="DefaultParagraphFont"/>
    <w:link w:val="Footer"/>
    <w:uiPriority w:val="99"/>
    <w:rsid w:val="00F13836"/>
    <w:rPr>
      <w:rFonts w:ascii="Calibri" w:eastAsia="Calibri" w:hAnsi="Calibri" w:cs="Times New Roman"/>
      <w:sz w:val="22"/>
      <w:szCs w:val="22"/>
      <w:lang w:eastAsia="en-GB"/>
    </w:rPr>
  </w:style>
  <w:style w:type="paragraph" w:customStyle="1" w:styleId="Default">
    <w:name w:val="Default"/>
    <w:rsid w:val="00F13836"/>
    <w:pPr>
      <w:autoSpaceDE w:val="0"/>
      <w:autoSpaceDN w:val="0"/>
      <w:adjustRightInd w:val="0"/>
    </w:pPr>
    <w:rPr>
      <w:rFonts w:ascii="Arial" w:eastAsia="Times New Roman" w:hAnsi="Arial" w:cs="Arial"/>
      <w:color w:val="000000"/>
      <w:lang w:eastAsia="en-GB"/>
    </w:rPr>
  </w:style>
  <w:style w:type="table" w:customStyle="1" w:styleId="TableGrid1">
    <w:name w:val="Table Grid1"/>
    <w:basedOn w:val="TableNormal"/>
    <w:next w:val="TableGrid"/>
    <w:uiPriority w:val="59"/>
    <w:rsid w:val="00F13836"/>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ds-grid">
    <w:name w:val="slds-grid"/>
    <w:basedOn w:val="DefaultParagraphFont"/>
    <w:rsid w:val="00F13836"/>
  </w:style>
  <w:style w:type="character" w:styleId="Strong">
    <w:name w:val="Strong"/>
    <w:basedOn w:val="DefaultParagraphFont"/>
    <w:uiPriority w:val="22"/>
    <w:qFormat/>
    <w:rsid w:val="00F13836"/>
    <w:rPr>
      <w:b/>
      <w:bCs/>
    </w:rPr>
  </w:style>
  <w:style w:type="paragraph" w:customStyle="1" w:styleId="p">
    <w:name w:val="p"/>
    <w:basedOn w:val="Normal"/>
    <w:rsid w:val="00F13836"/>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13836"/>
  </w:style>
  <w:style w:type="character" w:styleId="FollowedHyperlink">
    <w:name w:val="FollowedHyperlink"/>
    <w:basedOn w:val="DefaultParagraphFont"/>
    <w:uiPriority w:val="99"/>
    <w:semiHidden/>
    <w:unhideWhenUsed/>
    <w:rsid w:val="00F13836"/>
    <w:rPr>
      <w:color w:val="954F72" w:themeColor="followedHyperlink"/>
      <w:u w:val="single"/>
    </w:rPr>
  </w:style>
  <w:style w:type="character" w:styleId="Emphasis">
    <w:name w:val="Emphasis"/>
    <w:basedOn w:val="DefaultParagraphFont"/>
    <w:uiPriority w:val="20"/>
    <w:qFormat/>
    <w:rsid w:val="00F13836"/>
    <w:rPr>
      <w:i/>
      <w:iCs/>
    </w:rPr>
  </w:style>
  <w:style w:type="character" w:customStyle="1" w:styleId="authors-list-item">
    <w:name w:val="authors-list-item"/>
    <w:basedOn w:val="DefaultParagraphFont"/>
    <w:rsid w:val="00F13836"/>
  </w:style>
  <w:style w:type="character" w:customStyle="1" w:styleId="author-sup-separator">
    <w:name w:val="author-sup-separator"/>
    <w:basedOn w:val="DefaultParagraphFont"/>
    <w:rsid w:val="00F13836"/>
  </w:style>
  <w:style w:type="character" w:customStyle="1" w:styleId="comma">
    <w:name w:val="comma"/>
    <w:basedOn w:val="DefaultParagraphFont"/>
    <w:rsid w:val="00F13836"/>
  </w:style>
  <w:style w:type="paragraph" w:customStyle="1" w:styleId="m-2427573865440739404msolistparagraph">
    <w:name w:val="m_-2427573865440739404msolistparagraph"/>
    <w:basedOn w:val="Normal"/>
    <w:rsid w:val="00F13836"/>
    <w:pPr>
      <w:spacing w:before="100" w:beforeAutospacing="1" w:after="100" w:afterAutospacing="1"/>
    </w:pPr>
    <w:rPr>
      <w:rFonts w:ascii="Times New Roman" w:eastAsia="Times New Roman" w:hAnsi="Times New Roman" w:cs="Times New Roman"/>
      <w:lang w:eastAsia="en-GB"/>
    </w:rPr>
  </w:style>
  <w:style w:type="paragraph" w:customStyle="1" w:styleId="default0">
    <w:name w:val="default"/>
    <w:basedOn w:val="Normal"/>
    <w:rsid w:val="00F13836"/>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F13836"/>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F13836"/>
    <w:rPr>
      <w:sz w:val="16"/>
      <w:szCs w:val="16"/>
    </w:rPr>
  </w:style>
  <w:style w:type="paragraph" w:styleId="CommentText">
    <w:name w:val="annotation text"/>
    <w:basedOn w:val="Normal"/>
    <w:link w:val="CommentTextChar"/>
    <w:uiPriority w:val="99"/>
    <w:unhideWhenUsed/>
    <w:rsid w:val="00F13836"/>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F1383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3836"/>
    <w:rPr>
      <w:b/>
      <w:bCs/>
    </w:rPr>
  </w:style>
  <w:style w:type="character" w:customStyle="1" w:styleId="CommentSubjectChar">
    <w:name w:val="Comment Subject Char"/>
    <w:basedOn w:val="CommentTextChar"/>
    <w:link w:val="CommentSubject"/>
    <w:uiPriority w:val="99"/>
    <w:semiHidden/>
    <w:rsid w:val="00F13836"/>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F13836"/>
    <w:rPr>
      <w:color w:val="605E5C"/>
      <w:shd w:val="clear" w:color="auto" w:fill="E1DFDD"/>
    </w:rPr>
  </w:style>
  <w:style w:type="paragraph" w:styleId="Title">
    <w:name w:val="Title"/>
    <w:basedOn w:val="Normal"/>
    <w:next w:val="Normal"/>
    <w:link w:val="TitleChar"/>
    <w:uiPriority w:val="10"/>
    <w:qFormat/>
    <w:rsid w:val="00963D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D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D5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63D52"/>
    <w:rPr>
      <w:rFonts w:eastAsiaTheme="minorEastAsia"/>
      <w:color w:val="5A5A5A" w:themeColor="text1" w:themeTint="A5"/>
      <w:spacing w:val="15"/>
      <w:sz w:val="22"/>
      <w:szCs w:val="22"/>
    </w:rPr>
  </w:style>
  <w:style w:type="paragraph" w:styleId="TOCHeading">
    <w:name w:val="TOC Heading"/>
    <w:basedOn w:val="Heading1"/>
    <w:next w:val="Normal"/>
    <w:uiPriority w:val="39"/>
    <w:unhideWhenUsed/>
    <w:qFormat/>
    <w:rsid w:val="00F42B5C"/>
    <w:pPr>
      <w:keepNext/>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F42B5C"/>
    <w:pPr>
      <w:spacing w:after="100" w:line="259" w:lineRule="auto"/>
      <w:ind w:left="220"/>
    </w:pPr>
    <w:rPr>
      <w:rFonts w:eastAsiaTheme="minorEastAsia" w:cs="Times New Roman"/>
      <w:sz w:val="22"/>
      <w:szCs w:val="22"/>
      <w:lang w:val="en-US"/>
    </w:rPr>
  </w:style>
  <w:style w:type="paragraph" w:styleId="TOC1">
    <w:name w:val="toc 1"/>
    <w:basedOn w:val="Normal"/>
    <w:next w:val="Normal"/>
    <w:autoRedefine/>
    <w:uiPriority w:val="39"/>
    <w:unhideWhenUsed/>
    <w:rsid w:val="00F42B5C"/>
    <w:pPr>
      <w:spacing w:after="100" w:line="259" w:lineRule="auto"/>
    </w:pPr>
    <w:rPr>
      <w:rFonts w:eastAsiaTheme="minorEastAsia" w:cs="Times New Roman"/>
      <w:sz w:val="22"/>
      <w:szCs w:val="22"/>
      <w:lang w:val="en-US"/>
    </w:rPr>
  </w:style>
  <w:style w:type="paragraph" w:styleId="TOC3">
    <w:name w:val="toc 3"/>
    <w:basedOn w:val="Normal"/>
    <w:next w:val="Normal"/>
    <w:autoRedefine/>
    <w:uiPriority w:val="39"/>
    <w:unhideWhenUsed/>
    <w:rsid w:val="00F42B5C"/>
    <w:pPr>
      <w:spacing w:after="100" w:line="259" w:lineRule="auto"/>
      <w:ind w:left="440"/>
    </w:pPr>
    <w:rPr>
      <w:rFonts w:eastAsiaTheme="minorEastAsia" w:cs="Times New Roman"/>
      <w:sz w:val="22"/>
      <w:szCs w:val="22"/>
      <w:lang w:val="en-US"/>
    </w:rPr>
  </w:style>
  <w:style w:type="paragraph" w:styleId="NoSpacing">
    <w:name w:val="No Spacing"/>
    <w:uiPriority w:val="1"/>
    <w:qFormat/>
    <w:rsid w:val="00DA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9918">
      <w:bodyDiv w:val="1"/>
      <w:marLeft w:val="0"/>
      <w:marRight w:val="0"/>
      <w:marTop w:val="0"/>
      <w:marBottom w:val="0"/>
      <w:divBdr>
        <w:top w:val="none" w:sz="0" w:space="0" w:color="auto"/>
        <w:left w:val="none" w:sz="0" w:space="0" w:color="auto"/>
        <w:bottom w:val="none" w:sz="0" w:space="0" w:color="auto"/>
        <w:right w:val="none" w:sz="0" w:space="0" w:color="auto"/>
      </w:divBdr>
    </w:div>
    <w:div w:id="113446591">
      <w:bodyDiv w:val="1"/>
      <w:marLeft w:val="0"/>
      <w:marRight w:val="0"/>
      <w:marTop w:val="0"/>
      <w:marBottom w:val="0"/>
      <w:divBdr>
        <w:top w:val="none" w:sz="0" w:space="0" w:color="auto"/>
        <w:left w:val="none" w:sz="0" w:space="0" w:color="auto"/>
        <w:bottom w:val="none" w:sz="0" w:space="0" w:color="auto"/>
        <w:right w:val="none" w:sz="0" w:space="0" w:color="auto"/>
      </w:divBdr>
    </w:div>
    <w:div w:id="229078856">
      <w:bodyDiv w:val="1"/>
      <w:marLeft w:val="0"/>
      <w:marRight w:val="0"/>
      <w:marTop w:val="0"/>
      <w:marBottom w:val="0"/>
      <w:divBdr>
        <w:top w:val="none" w:sz="0" w:space="0" w:color="auto"/>
        <w:left w:val="none" w:sz="0" w:space="0" w:color="auto"/>
        <w:bottom w:val="none" w:sz="0" w:space="0" w:color="auto"/>
        <w:right w:val="none" w:sz="0" w:space="0" w:color="auto"/>
      </w:divBdr>
    </w:div>
    <w:div w:id="565645937">
      <w:bodyDiv w:val="1"/>
      <w:marLeft w:val="0"/>
      <w:marRight w:val="0"/>
      <w:marTop w:val="0"/>
      <w:marBottom w:val="0"/>
      <w:divBdr>
        <w:top w:val="none" w:sz="0" w:space="0" w:color="auto"/>
        <w:left w:val="none" w:sz="0" w:space="0" w:color="auto"/>
        <w:bottom w:val="none" w:sz="0" w:space="0" w:color="auto"/>
        <w:right w:val="none" w:sz="0" w:space="0" w:color="auto"/>
      </w:divBdr>
    </w:div>
    <w:div w:id="595360183">
      <w:bodyDiv w:val="1"/>
      <w:marLeft w:val="0"/>
      <w:marRight w:val="0"/>
      <w:marTop w:val="0"/>
      <w:marBottom w:val="0"/>
      <w:divBdr>
        <w:top w:val="none" w:sz="0" w:space="0" w:color="auto"/>
        <w:left w:val="none" w:sz="0" w:space="0" w:color="auto"/>
        <w:bottom w:val="none" w:sz="0" w:space="0" w:color="auto"/>
        <w:right w:val="none" w:sz="0" w:space="0" w:color="auto"/>
      </w:divBdr>
    </w:div>
    <w:div w:id="598178610">
      <w:bodyDiv w:val="1"/>
      <w:marLeft w:val="0"/>
      <w:marRight w:val="0"/>
      <w:marTop w:val="0"/>
      <w:marBottom w:val="0"/>
      <w:divBdr>
        <w:top w:val="none" w:sz="0" w:space="0" w:color="auto"/>
        <w:left w:val="none" w:sz="0" w:space="0" w:color="auto"/>
        <w:bottom w:val="none" w:sz="0" w:space="0" w:color="auto"/>
        <w:right w:val="none" w:sz="0" w:space="0" w:color="auto"/>
      </w:divBdr>
    </w:div>
    <w:div w:id="633602274">
      <w:bodyDiv w:val="1"/>
      <w:marLeft w:val="0"/>
      <w:marRight w:val="0"/>
      <w:marTop w:val="0"/>
      <w:marBottom w:val="0"/>
      <w:divBdr>
        <w:top w:val="none" w:sz="0" w:space="0" w:color="auto"/>
        <w:left w:val="none" w:sz="0" w:space="0" w:color="auto"/>
        <w:bottom w:val="none" w:sz="0" w:space="0" w:color="auto"/>
        <w:right w:val="none" w:sz="0" w:space="0" w:color="auto"/>
      </w:divBdr>
    </w:div>
    <w:div w:id="643002743">
      <w:bodyDiv w:val="1"/>
      <w:marLeft w:val="0"/>
      <w:marRight w:val="0"/>
      <w:marTop w:val="0"/>
      <w:marBottom w:val="0"/>
      <w:divBdr>
        <w:top w:val="none" w:sz="0" w:space="0" w:color="auto"/>
        <w:left w:val="none" w:sz="0" w:space="0" w:color="auto"/>
        <w:bottom w:val="none" w:sz="0" w:space="0" w:color="auto"/>
        <w:right w:val="none" w:sz="0" w:space="0" w:color="auto"/>
      </w:divBdr>
    </w:div>
    <w:div w:id="701595296">
      <w:bodyDiv w:val="1"/>
      <w:marLeft w:val="0"/>
      <w:marRight w:val="0"/>
      <w:marTop w:val="0"/>
      <w:marBottom w:val="0"/>
      <w:divBdr>
        <w:top w:val="none" w:sz="0" w:space="0" w:color="auto"/>
        <w:left w:val="none" w:sz="0" w:space="0" w:color="auto"/>
        <w:bottom w:val="none" w:sz="0" w:space="0" w:color="auto"/>
        <w:right w:val="none" w:sz="0" w:space="0" w:color="auto"/>
      </w:divBdr>
    </w:div>
    <w:div w:id="722370162">
      <w:bodyDiv w:val="1"/>
      <w:marLeft w:val="0"/>
      <w:marRight w:val="0"/>
      <w:marTop w:val="0"/>
      <w:marBottom w:val="0"/>
      <w:divBdr>
        <w:top w:val="none" w:sz="0" w:space="0" w:color="auto"/>
        <w:left w:val="none" w:sz="0" w:space="0" w:color="auto"/>
        <w:bottom w:val="none" w:sz="0" w:space="0" w:color="auto"/>
        <w:right w:val="none" w:sz="0" w:space="0" w:color="auto"/>
      </w:divBdr>
    </w:div>
    <w:div w:id="732851336">
      <w:bodyDiv w:val="1"/>
      <w:marLeft w:val="0"/>
      <w:marRight w:val="0"/>
      <w:marTop w:val="0"/>
      <w:marBottom w:val="0"/>
      <w:divBdr>
        <w:top w:val="none" w:sz="0" w:space="0" w:color="auto"/>
        <w:left w:val="none" w:sz="0" w:space="0" w:color="auto"/>
        <w:bottom w:val="none" w:sz="0" w:space="0" w:color="auto"/>
        <w:right w:val="none" w:sz="0" w:space="0" w:color="auto"/>
      </w:divBdr>
    </w:div>
    <w:div w:id="758523565">
      <w:bodyDiv w:val="1"/>
      <w:marLeft w:val="0"/>
      <w:marRight w:val="0"/>
      <w:marTop w:val="0"/>
      <w:marBottom w:val="0"/>
      <w:divBdr>
        <w:top w:val="none" w:sz="0" w:space="0" w:color="auto"/>
        <w:left w:val="none" w:sz="0" w:space="0" w:color="auto"/>
        <w:bottom w:val="none" w:sz="0" w:space="0" w:color="auto"/>
        <w:right w:val="none" w:sz="0" w:space="0" w:color="auto"/>
      </w:divBdr>
    </w:div>
    <w:div w:id="789124826">
      <w:bodyDiv w:val="1"/>
      <w:marLeft w:val="0"/>
      <w:marRight w:val="0"/>
      <w:marTop w:val="0"/>
      <w:marBottom w:val="0"/>
      <w:divBdr>
        <w:top w:val="none" w:sz="0" w:space="0" w:color="auto"/>
        <w:left w:val="none" w:sz="0" w:space="0" w:color="auto"/>
        <w:bottom w:val="none" w:sz="0" w:space="0" w:color="auto"/>
        <w:right w:val="none" w:sz="0" w:space="0" w:color="auto"/>
      </w:divBdr>
    </w:div>
    <w:div w:id="811796847">
      <w:bodyDiv w:val="1"/>
      <w:marLeft w:val="0"/>
      <w:marRight w:val="0"/>
      <w:marTop w:val="0"/>
      <w:marBottom w:val="0"/>
      <w:divBdr>
        <w:top w:val="none" w:sz="0" w:space="0" w:color="auto"/>
        <w:left w:val="none" w:sz="0" w:space="0" w:color="auto"/>
        <w:bottom w:val="none" w:sz="0" w:space="0" w:color="auto"/>
        <w:right w:val="none" w:sz="0" w:space="0" w:color="auto"/>
      </w:divBdr>
    </w:div>
    <w:div w:id="875121234">
      <w:bodyDiv w:val="1"/>
      <w:marLeft w:val="0"/>
      <w:marRight w:val="0"/>
      <w:marTop w:val="0"/>
      <w:marBottom w:val="0"/>
      <w:divBdr>
        <w:top w:val="none" w:sz="0" w:space="0" w:color="auto"/>
        <w:left w:val="none" w:sz="0" w:space="0" w:color="auto"/>
        <w:bottom w:val="none" w:sz="0" w:space="0" w:color="auto"/>
        <w:right w:val="none" w:sz="0" w:space="0" w:color="auto"/>
      </w:divBdr>
    </w:div>
    <w:div w:id="894900998">
      <w:bodyDiv w:val="1"/>
      <w:marLeft w:val="0"/>
      <w:marRight w:val="0"/>
      <w:marTop w:val="0"/>
      <w:marBottom w:val="0"/>
      <w:divBdr>
        <w:top w:val="none" w:sz="0" w:space="0" w:color="auto"/>
        <w:left w:val="none" w:sz="0" w:space="0" w:color="auto"/>
        <w:bottom w:val="none" w:sz="0" w:space="0" w:color="auto"/>
        <w:right w:val="none" w:sz="0" w:space="0" w:color="auto"/>
      </w:divBdr>
    </w:div>
    <w:div w:id="960115161">
      <w:bodyDiv w:val="1"/>
      <w:marLeft w:val="0"/>
      <w:marRight w:val="0"/>
      <w:marTop w:val="0"/>
      <w:marBottom w:val="0"/>
      <w:divBdr>
        <w:top w:val="none" w:sz="0" w:space="0" w:color="auto"/>
        <w:left w:val="none" w:sz="0" w:space="0" w:color="auto"/>
        <w:bottom w:val="none" w:sz="0" w:space="0" w:color="auto"/>
        <w:right w:val="none" w:sz="0" w:space="0" w:color="auto"/>
      </w:divBdr>
    </w:div>
    <w:div w:id="969629680">
      <w:bodyDiv w:val="1"/>
      <w:marLeft w:val="0"/>
      <w:marRight w:val="0"/>
      <w:marTop w:val="0"/>
      <w:marBottom w:val="0"/>
      <w:divBdr>
        <w:top w:val="none" w:sz="0" w:space="0" w:color="auto"/>
        <w:left w:val="none" w:sz="0" w:space="0" w:color="auto"/>
        <w:bottom w:val="none" w:sz="0" w:space="0" w:color="auto"/>
        <w:right w:val="none" w:sz="0" w:space="0" w:color="auto"/>
      </w:divBdr>
    </w:div>
    <w:div w:id="1000238848">
      <w:bodyDiv w:val="1"/>
      <w:marLeft w:val="0"/>
      <w:marRight w:val="0"/>
      <w:marTop w:val="0"/>
      <w:marBottom w:val="0"/>
      <w:divBdr>
        <w:top w:val="none" w:sz="0" w:space="0" w:color="auto"/>
        <w:left w:val="none" w:sz="0" w:space="0" w:color="auto"/>
        <w:bottom w:val="none" w:sz="0" w:space="0" w:color="auto"/>
        <w:right w:val="none" w:sz="0" w:space="0" w:color="auto"/>
      </w:divBdr>
    </w:div>
    <w:div w:id="1026057598">
      <w:bodyDiv w:val="1"/>
      <w:marLeft w:val="0"/>
      <w:marRight w:val="0"/>
      <w:marTop w:val="0"/>
      <w:marBottom w:val="0"/>
      <w:divBdr>
        <w:top w:val="none" w:sz="0" w:space="0" w:color="auto"/>
        <w:left w:val="none" w:sz="0" w:space="0" w:color="auto"/>
        <w:bottom w:val="none" w:sz="0" w:space="0" w:color="auto"/>
        <w:right w:val="none" w:sz="0" w:space="0" w:color="auto"/>
      </w:divBdr>
    </w:div>
    <w:div w:id="1068117338">
      <w:bodyDiv w:val="1"/>
      <w:marLeft w:val="0"/>
      <w:marRight w:val="0"/>
      <w:marTop w:val="0"/>
      <w:marBottom w:val="0"/>
      <w:divBdr>
        <w:top w:val="none" w:sz="0" w:space="0" w:color="auto"/>
        <w:left w:val="none" w:sz="0" w:space="0" w:color="auto"/>
        <w:bottom w:val="none" w:sz="0" w:space="0" w:color="auto"/>
        <w:right w:val="none" w:sz="0" w:space="0" w:color="auto"/>
      </w:divBdr>
    </w:div>
    <w:div w:id="1095830484">
      <w:bodyDiv w:val="1"/>
      <w:marLeft w:val="0"/>
      <w:marRight w:val="0"/>
      <w:marTop w:val="0"/>
      <w:marBottom w:val="0"/>
      <w:divBdr>
        <w:top w:val="none" w:sz="0" w:space="0" w:color="auto"/>
        <w:left w:val="none" w:sz="0" w:space="0" w:color="auto"/>
        <w:bottom w:val="none" w:sz="0" w:space="0" w:color="auto"/>
        <w:right w:val="none" w:sz="0" w:space="0" w:color="auto"/>
      </w:divBdr>
    </w:div>
    <w:div w:id="1098670855">
      <w:bodyDiv w:val="1"/>
      <w:marLeft w:val="0"/>
      <w:marRight w:val="0"/>
      <w:marTop w:val="0"/>
      <w:marBottom w:val="0"/>
      <w:divBdr>
        <w:top w:val="none" w:sz="0" w:space="0" w:color="auto"/>
        <w:left w:val="none" w:sz="0" w:space="0" w:color="auto"/>
        <w:bottom w:val="none" w:sz="0" w:space="0" w:color="auto"/>
        <w:right w:val="none" w:sz="0" w:space="0" w:color="auto"/>
      </w:divBdr>
    </w:div>
    <w:div w:id="1369257795">
      <w:bodyDiv w:val="1"/>
      <w:marLeft w:val="0"/>
      <w:marRight w:val="0"/>
      <w:marTop w:val="0"/>
      <w:marBottom w:val="0"/>
      <w:divBdr>
        <w:top w:val="none" w:sz="0" w:space="0" w:color="auto"/>
        <w:left w:val="none" w:sz="0" w:space="0" w:color="auto"/>
        <w:bottom w:val="none" w:sz="0" w:space="0" w:color="auto"/>
        <w:right w:val="none" w:sz="0" w:space="0" w:color="auto"/>
      </w:divBdr>
    </w:div>
    <w:div w:id="1428454972">
      <w:bodyDiv w:val="1"/>
      <w:marLeft w:val="0"/>
      <w:marRight w:val="0"/>
      <w:marTop w:val="0"/>
      <w:marBottom w:val="0"/>
      <w:divBdr>
        <w:top w:val="none" w:sz="0" w:space="0" w:color="auto"/>
        <w:left w:val="none" w:sz="0" w:space="0" w:color="auto"/>
        <w:bottom w:val="none" w:sz="0" w:space="0" w:color="auto"/>
        <w:right w:val="none" w:sz="0" w:space="0" w:color="auto"/>
      </w:divBdr>
    </w:div>
    <w:div w:id="1652321781">
      <w:bodyDiv w:val="1"/>
      <w:marLeft w:val="0"/>
      <w:marRight w:val="0"/>
      <w:marTop w:val="0"/>
      <w:marBottom w:val="0"/>
      <w:divBdr>
        <w:top w:val="none" w:sz="0" w:space="0" w:color="auto"/>
        <w:left w:val="none" w:sz="0" w:space="0" w:color="auto"/>
        <w:bottom w:val="none" w:sz="0" w:space="0" w:color="auto"/>
        <w:right w:val="none" w:sz="0" w:space="0" w:color="auto"/>
      </w:divBdr>
    </w:div>
    <w:div w:id="1657026400">
      <w:bodyDiv w:val="1"/>
      <w:marLeft w:val="0"/>
      <w:marRight w:val="0"/>
      <w:marTop w:val="0"/>
      <w:marBottom w:val="0"/>
      <w:divBdr>
        <w:top w:val="none" w:sz="0" w:space="0" w:color="auto"/>
        <w:left w:val="none" w:sz="0" w:space="0" w:color="auto"/>
        <w:bottom w:val="none" w:sz="0" w:space="0" w:color="auto"/>
        <w:right w:val="none" w:sz="0" w:space="0" w:color="auto"/>
      </w:divBdr>
    </w:div>
    <w:div w:id="1690717646">
      <w:bodyDiv w:val="1"/>
      <w:marLeft w:val="0"/>
      <w:marRight w:val="0"/>
      <w:marTop w:val="0"/>
      <w:marBottom w:val="0"/>
      <w:divBdr>
        <w:top w:val="none" w:sz="0" w:space="0" w:color="auto"/>
        <w:left w:val="none" w:sz="0" w:space="0" w:color="auto"/>
        <w:bottom w:val="none" w:sz="0" w:space="0" w:color="auto"/>
        <w:right w:val="none" w:sz="0" w:space="0" w:color="auto"/>
      </w:divBdr>
    </w:div>
    <w:div w:id="1714306947">
      <w:bodyDiv w:val="1"/>
      <w:marLeft w:val="0"/>
      <w:marRight w:val="0"/>
      <w:marTop w:val="0"/>
      <w:marBottom w:val="0"/>
      <w:divBdr>
        <w:top w:val="none" w:sz="0" w:space="0" w:color="auto"/>
        <w:left w:val="none" w:sz="0" w:space="0" w:color="auto"/>
        <w:bottom w:val="none" w:sz="0" w:space="0" w:color="auto"/>
        <w:right w:val="none" w:sz="0" w:space="0" w:color="auto"/>
      </w:divBdr>
    </w:div>
    <w:div w:id="1738552546">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2002155726">
      <w:bodyDiv w:val="1"/>
      <w:marLeft w:val="0"/>
      <w:marRight w:val="0"/>
      <w:marTop w:val="0"/>
      <w:marBottom w:val="0"/>
      <w:divBdr>
        <w:top w:val="none" w:sz="0" w:space="0" w:color="auto"/>
        <w:left w:val="none" w:sz="0" w:space="0" w:color="auto"/>
        <w:bottom w:val="none" w:sz="0" w:space="0" w:color="auto"/>
        <w:right w:val="none" w:sz="0" w:space="0" w:color="auto"/>
      </w:divBdr>
    </w:div>
    <w:div w:id="2015645029">
      <w:bodyDiv w:val="1"/>
      <w:marLeft w:val="0"/>
      <w:marRight w:val="0"/>
      <w:marTop w:val="0"/>
      <w:marBottom w:val="0"/>
      <w:divBdr>
        <w:top w:val="none" w:sz="0" w:space="0" w:color="auto"/>
        <w:left w:val="none" w:sz="0" w:space="0" w:color="auto"/>
        <w:bottom w:val="none" w:sz="0" w:space="0" w:color="auto"/>
        <w:right w:val="none" w:sz="0" w:space="0" w:color="auto"/>
      </w:divBdr>
    </w:div>
    <w:div w:id="2059352412">
      <w:bodyDiv w:val="1"/>
      <w:marLeft w:val="0"/>
      <w:marRight w:val="0"/>
      <w:marTop w:val="0"/>
      <w:marBottom w:val="0"/>
      <w:divBdr>
        <w:top w:val="none" w:sz="0" w:space="0" w:color="auto"/>
        <w:left w:val="none" w:sz="0" w:space="0" w:color="auto"/>
        <w:bottom w:val="none" w:sz="0" w:space="0" w:color="auto"/>
        <w:right w:val="none" w:sz="0" w:space="0" w:color="auto"/>
      </w:divBdr>
    </w:div>
    <w:div w:id="21302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ssexsafeguardingadult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tsussexsab.org.uk/wp-content/uploads/2021/12/Multi-Agency-Risk-Management-Protocol-SAB-Final-Version-Dec-202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s.uk/conditions/alcohol-misuse/risks/" TargetMode="External"/><Relationship Id="rId4" Type="http://schemas.openxmlformats.org/officeDocument/2006/relationships/settings" Target="settings.xml"/><Relationship Id="rId9" Type="http://schemas.openxmlformats.org/officeDocument/2006/relationships/hyperlink" Target="https://media.nhsbsa.nhs.uk/blogs/dry-january-alcohol-and-eye-healt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BFE7E-01E4-4BA9-B916-C113B21F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3438</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Vinall</dc:creator>
  <cp:keywords/>
  <dc:description/>
  <cp:lastModifiedBy>Sophie Watson</cp:lastModifiedBy>
  <cp:revision>2</cp:revision>
  <dcterms:created xsi:type="dcterms:W3CDTF">2024-05-29T10:24:00Z</dcterms:created>
  <dcterms:modified xsi:type="dcterms:W3CDTF">2024-05-29T10:24:00Z</dcterms:modified>
</cp:coreProperties>
</file>