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82F6" w14:textId="1A6E2C28" w:rsidR="00730533" w:rsidRPr="003E7E9D" w:rsidRDefault="00730533">
      <w:pPr>
        <w:rPr>
          <w:rFonts w:ascii="Arial" w:hAnsi="Arial" w:cs="Arial"/>
          <w:b/>
          <w:sz w:val="36"/>
          <w:szCs w:val="36"/>
        </w:rPr>
      </w:pPr>
      <w:r w:rsidRPr="00926401">
        <w:rPr>
          <w:rFonts w:ascii="Arial" w:hAnsi="Arial" w:cs="Arial"/>
          <w:b/>
          <w:noProof/>
          <w:sz w:val="24"/>
          <w:szCs w:val="24"/>
          <w:lang w:eastAsia="en-GB"/>
        </w:rPr>
        <w:drawing>
          <wp:inline distT="0" distB="0" distL="0" distR="0" wp14:anchorId="7E22844F" wp14:editId="5DC97851">
            <wp:extent cx="1821917" cy="529326"/>
            <wp:effectExtent l="0" t="0" r="698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917" cy="529326"/>
                    </a:xfrm>
                    <a:prstGeom prst="rect">
                      <a:avLst/>
                    </a:prstGeom>
                  </pic:spPr>
                </pic:pic>
              </a:graphicData>
            </a:graphic>
          </wp:inline>
        </w:drawing>
      </w:r>
      <w:r w:rsidR="003E7E9D" w:rsidRPr="00926401">
        <w:rPr>
          <w:rFonts w:ascii="Arial" w:hAnsi="Arial" w:cs="Arial"/>
          <w:b/>
          <w:sz w:val="20"/>
          <w:szCs w:val="20"/>
        </w:rPr>
        <w:t xml:space="preserve"> </w:t>
      </w:r>
      <w:r w:rsidR="003E7E9D" w:rsidRPr="00926401">
        <w:rPr>
          <w:rFonts w:ascii="Arial" w:hAnsi="Arial" w:cs="Arial"/>
          <w:b/>
          <w:sz w:val="28"/>
          <w:szCs w:val="28"/>
        </w:rPr>
        <w:t xml:space="preserve"> </w:t>
      </w:r>
      <w:r w:rsidR="003E7E9D" w:rsidRPr="003E7E9D">
        <w:rPr>
          <w:rFonts w:ascii="Arial" w:hAnsi="Arial" w:cs="Arial"/>
          <w:b/>
          <w:sz w:val="28"/>
          <w:szCs w:val="28"/>
        </w:rPr>
        <w:t xml:space="preserve">    </w:t>
      </w:r>
      <w:r w:rsidR="003E7E9D" w:rsidRPr="003E7E9D">
        <w:rPr>
          <w:rFonts w:ascii="Arial" w:hAnsi="Arial" w:cs="Arial"/>
          <w:b/>
          <w:sz w:val="36"/>
          <w:szCs w:val="36"/>
        </w:rPr>
        <w:t>Safeguarding Adults</w:t>
      </w:r>
    </w:p>
    <w:p w14:paraId="7E2282F7" w14:textId="77777777" w:rsidR="00F33431" w:rsidRDefault="00DC1094" w:rsidP="00AC6771">
      <w:pPr>
        <w:jc w:val="center"/>
        <w:rPr>
          <w:rFonts w:ascii="Arial" w:hAnsi="Arial" w:cs="Arial"/>
          <w:b/>
          <w:sz w:val="28"/>
          <w:szCs w:val="28"/>
        </w:rPr>
      </w:pPr>
      <w:r>
        <w:rPr>
          <w:rFonts w:ascii="Arial" w:hAnsi="Arial" w:cs="Arial"/>
          <w:b/>
          <w:sz w:val="28"/>
          <w:szCs w:val="28"/>
        </w:rPr>
        <w:t xml:space="preserve">Guidance on </w:t>
      </w:r>
      <w:r w:rsidR="00FC6C86" w:rsidRPr="003E7E9D">
        <w:rPr>
          <w:rFonts w:ascii="Arial" w:hAnsi="Arial" w:cs="Arial"/>
          <w:b/>
          <w:sz w:val="28"/>
          <w:szCs w:val="28"/>
        </w:rPr>
        <w:t>Raising Concerns</w:t>
      </w:r>
      <w:r w:rsidR="00FC0773" w:rsidRPr="003E7E9D">
        <w:rPr>
          <w:rFonts w:ascii="Arial" w:hAnsi="Arial" w:cs="Arial"/>
          <w:b/>
          <w:sz w:val="28"/>
          <w:szCs w:val="28"/>
        </w:rPr>
        <w:t xml:space="preserve"> about Abuse and Neglect</w:t>
      </w:r>
    </w:p>
    <w:p w14:paraId="7A4F93CE" w14:textId="410F29CF" w:rsidR="00AC6771" w:rsidRPr="003E7E9D" w:rsidRDefault="00F8470F" w:rsidP="00AC6771">
      <w:pPr>
        <w:jc w:val="center"/>
        <w:rPr>
          <w:rFonts w:ascii="Arial" w:hAnsi="Arial" w:cs="Arial"/>
          <w:b/>
          <w:sz w:val="28"/>
          <w:szCs w:val="28"/>
        </w:rPr>
      </w:pPr>
      <w:r>
        <w:rPr>
          <w:rFonts w:ascii="Arial" w:hAnsi="Arial" w:cs="Arial"/>
          <w:b/>
          <w:sz w:val="28"/>
          <w:szCs w:val="28"/>
        </w:rPr>
        <w:t>Appendix 2</w:t>
      </w:r>
      <w:r w:rsidR="00AC6771">
        <w:rPr>
          <w:rFonts w:ascii="Arial" w:hAnsi="Arial" w:cs="Arial"/>
          <w:b/>
          <w:sz w:val="28"/>
          <w:szCs w:val="28"/>
        </w:rPr>
        <w:t xml:space="preserve">: Supplementary guidance on when to consider raising a safeguarding concern regarding </w:t>
      </w:r>
      <w:r w:rsidR="00600357">
        <w:rPr>
          <w:rFonts w:ascii="Arial" w:hAnsi="Arial" w:cs="Arial"/>
          <w:b/>
          <w:sz w:val="28"/>
          <w:szCs w:val="28"/>
        </w:rPr>
        <w:t>medication errors</w:t>
      </w:r>
    </w:p>
    <w:p w14:paraId="7C615CE2" w14:textId="13B95D56" w:rsidR="009A18EC" w:rsidRDefault="00A9355E" w:rsidP="006343D6">
      <w:pPr>
        <w:rPr>
          <w:rFonts w:ascii="Arial" w:hAnsi="Arial" w:cs="Arial"/>
          <w:sz w:val="24"/>
          <w:szCs w:val="24"/>
        </w:rPr>
      </w:pPr>
      <w:r w:rsidRPr="00730533">
        <w:rPr>
          <w:rFonts w:ascii="Arial" w:hAnsi="Arial" w:cs="Arial"/>
          <w:sz w:val="24"/>
          <w:szCs w:val="24"/>
        </w:rPr>
        <w:t xml:space="preserve">This </w:t>
      </w:r>
      <w:r w:rsidR="00AC6771">
        <w:rPr>
          <w:rFonts w:ascii="Arial" w:hAnsi="Arial" w:cs="Arial"/>
          <w:sz w:val="24"/>
          <w:szCs w:val="24"/>
        </w:rPr>
        <w:t xml:space="preserve">supplementary </w:t>
      </w:r>
      <w:r w:rsidRPr="00730533">
        <w:rPr>
          <w:rFonts w:ascii="Arial" w:hAnsi="Arial" w:cs="Arial"/>
          <w:sz w:val="24"/>
          <w:szCs w:val="24"/>
        </w:rPr>
        <w:t>gu</w:t>
      </w:r>
      <w:r w:rsidR="00D801FA" w:rsidRPr="00730533">
        <w:rPr>
          <w:rFonts w:ascii="Arial" w:hAnsi="Arial" w:cs="Arial"/>
          <w:sz w:val="24"/>
          <w:szCs w:val="24"/>
        </w:rPr>
        <w:t xml:space="preserve">idance </w:t>
      </w:r>
      <w:r w:rsidR="00AC6771">
        <w:rPr>
          <w:rFonts w:ascii="Arial" w:hAnsi="Arial" w:cs="Arial"/>
          <w:sz w:val="24"/>
          <w:szCs w:val="24"/>
        </w:rPr>
        <w:t xml:space="preserve">should be read in </w:t>
      </w:r>
      <w:r w:rsidR="00E57A64">
        <w:rPr>
          <w:rFonts w:ascii="Arial" w:hAnsi="Arial" w:cs="Arial"/>
          <w:sz w:val="24"/>
          <w:szCs w:val="24"/>
        </w:rPr>
        <w:t>conjunction with</w:t>
      </w:r>
      <w:r w:rsidR="009A18EC">
        <w:rPr>
          <w:rFonts w:ascii="Arial" w:hAnsi="Arial" w:cs="Arial"/>
          <w:sz w:val="24"/>
          <w:szCs w:val="24"/>
        </w:rPr>
        <w:t>:</w:t>
      </w:r>
    </w:p>
    <w:p w14:paraId="53CA8170" w14:textId="5C71D5CD" w:rsidR="009A18EC" w:rsidRPr="009A18EC" w:rsidRDefault="000E400D" w:rsidP="001C1FFE">
      <w:pPr>
        <w:pStyle w:val="ListParagraph"/>
        <w:numPr>
          <w:ilvl w:val="0"/>
          <w:numId w:val="1"/>
        </w:numPr>
        <w:rPr>
          <w:rFonts w:ascii="Arial" w:hAnsi="Arial" w:cs="Arial"/>
          <w:color w:val="0000FF" w:themeColor="hyperlink"/>
          <w:sz w:val="24"/>
          <w:szCs w:val="24"/>
          <w:u w:val="single"/>
        </w:rPr>
      </w:pPr>
      <w:hyperlink r:id="rId13" w:history="1">
        <w:r w:rsidR="00E57A64" w:rsidRPr="00FC38B6">
          <w:rPr>
            <w:rStyle w:val="Hyperlink"/>
            <w:rFonts w:ascii="Arial" w:hAnsi="Arial" w:cs="Arial"/>
            <w:sz w:val="24"/>
            <w:szCs w:val="24"/>
          </w:rPr>
          <w:t>Guidance on Raising Concerns about Abuse and Neglect</w:t>
        </w:r>
      </w:hyperlink>
      <w:bookmarkStart w:id="0" w:name="_GoBack"/>
      <w:bookmarkEnd w:id="0"/>
      <w:r w:rsidR="00265F69" w:rsidRPr="009A18EC">
        <w:rPr>
          <w:rFonts w:ascii="Arial" w:hAnsi="Arial" w:cs="Arial"/>
          <w:sz w:val="24"/>
          <w:szCs w:val="24"/>
        </w:rPr>
        <w:t xml:space="preserve"> </w:t>
      </w:r>
    </w:p>
    <w:p w14:paraId="66A45611" w14:textId="0315B0E6" w:rsidR="00D6623E" w:rsidRPr="008840AE" w:rsidRDefault="000E400D" w:rsidP="008840AE">
      <w:pPr>
        <w:pStyle w:val="ListParagraph"/>
        <w:numPr>
          <w:ilvl w:val="0"/>
          <w:numId w:val="1"/>
        </w:numPr>
        <w:rPr>
          <w:rStyle w:val="Hyperlink"/>
          <w:rFonts w:ascii="Arial" w:hAnsi="Arial" w:cs="Arial"/>
          <w:sz w:val="24"/>
          <w:szCs w:val="24"/>
        </w:rPr>
      </w:pPr>
      <w:hyperlink r:id="rId14" w:history="1">
        <w:r w:rsidR="00A9355E" w:rsidRPr="009A18EC">
          <w:rPr>
            <w:rStyle w:val="Hyperlink"/>
            <w:rFonts w:ascii="Arial" w:hAnsi="Arial" w:cs="Arial"/>
            <w:sz w:val="24"/>
            <w:szCs w:val="24"/>
          </w:rPr>
          <w:t>Sussex Safeguarding Adults Policy and Procedures</w:t>
        </w:r>
      </w:hyperlink>
      <w:r w:rsidR="00265F69" w:rsidRPr="009A18EC">
        <w:rPr>
          <w:rStyle w:val="Hyperlink"/>
          <w:rFonts w:ascii="Arial" w:hAnsi="Arial" w:cs="Arial"/>
          <w:sz w:val="24"/>
          <w:szCs w:val="24"/>
        </w:rPr>
        <w:t>.</w:t>
      </w:r>
    </w:p>
    <w:p w14:paraId="4A26BD57" w14:textId="262DF863" w:rsidR="00265F69" w:rsidRDefault="008840AE" w:rsidP="006343D6">
      <w:pPr>
        <w:rPr>
          <w:rFonts w:ascii="Arial" w:hAnsi="Arial" w:cs="Arial"/>
          <w:b/>
          <w:sz w:val="24"/>
          <w:szCs w:val="24"/>
        </w:rPr>
      </w:pPr>
      <w:r>
        <w:rPr>
          <w:rFonts w:ascii="Arial" w:hAnsi="Arial" w:cs="Arial"/>
          <w:b/>
          <w:sz w:val="24"/>
          <w:szCs w:val="24"/>
        </w:rPr>
        <w:t>What is a medication error?</w:t>
      </w:r>
    </w:p>
    <w:p w14:paraId="50400B02" w14:textId="7C3A668B" w:rsidR="008840AE" w:rsidRDefault="008840AE" w:rsidP="006343D6">
      <w:pPr>
        <w:rPr>
          <w:rFonts w:ascii="Arial" w:hAnsi="Arial" w:cs="Arial"/>
          <w:spacing w:val="2"/>
          <w:sz w:val="24"/>
          <w:szCs w:val="24"/>
          <w:lang w:val="en"/>
        </w:rPr>
      </w:pPr>
      <w:r w:rsidRPr="008840AE">
        <w:rPr>
          <w:rFonts w:ascii="Arial" w:hAnsi="Arial" w:cs="Arial"/>
          <w:sz w:val="24"/>
          <w:szCs w:val="24"/>
        </w:rPr>
        <w:t xml:space="preserve">The </w:t>
      </w:r>
      <w:r w:rsidR="00265F69" w:rsidRPr="008840AE">
        <w:rPr>
          <w:rFonts w:ascii="Arial" w:hAnsi="Arial" w:cs="Arial"/>
          <w:sz w:val="24"/>
          <w:szCs w:val="24"/>
        </w:rPr>
        <w:t>National</w:t>
      </w:r>
      <w:r w:rsidRPr="008840AE">
        <w:rPr>
          <w:rFonts w:ascii="Arial" w:hAnsi="Arial" w:cs="Arial"/>
          <w:sz w:val="24"/>
          <w:szCs w:val="24"/>
        </w:rPr>
        <w:t xml:space="preserve"> </w:t>
      </w:r>
      <w:r>
        <w:rPr>
          <w:rFonts w:ascii="Arial" w:hAnsi="Arial" w:cs="Arial"/>
          <w:sz w:val="24"/>
          <w:szCs w:val="24"/>
        </w:rPr>
        <w:t xml:space="preserve">Coordinating Council for Medication Error Reporting and Prevention </w:t>
      </w:r>
      <w:r w:rsidRPr="008840AE">
        <w:rPr>
          <w:rFonts w:ascii="Arial" w:hAnsi="Arial" w:cs="Arial"/>
          <w:sz w:val="24"/>
          <w:szCs w:val="24"/>
        </w:rPr>
        <w:t>(NCCMERP) defines a medication error as “</w:t>
      </w:r>
      <w:r w:rsidRPr="008840AE">
        <w:rPr>
          <w:rFonts w:ascii="Arial" w:hAnsi="Arial" w:cs="Arial"/>
          <w:spacing w:val="2"/>
          <w:sz w:val="24"/>
          <w:szCs w:val="24"/>
          <w:lang w:val="en"/>
        </w:rPr>
        <w:t>any preventable event that may cause or lead to inappropriate medication use or patient harm while the medication is in the control of the health care professional, patient, or consumer</w:t>
      </w:r>
      <w:r>
        <w:rPr>
          <w:rFonts w:ascii="Arial" w:hAnsi="Arial" w:cs="Arial"/>
          <w:spacing w:val="2"/>
          <w:sz w:val="24"/>
          <w:szCs w:val="24"/>
          <w:lang w:val="en"/>
        </w:rPr>
        <w:t>”</w:t>
      </w:r>
      <w:r w:rsidRPr="008840AE">
        <w:rPr>
          <w:rFonts w:ascii="Arial" w:hAnsi="Arial" w:cs="Arial"/>
          <w:spacing w:val="2"/>
          <w:sz w:val="24"/>
          <w:szCs w:val="24"/>
          <w:lang w:val="en"/>
        </w:rPr>
        <w:t xml:space="preserve">. </w:t>
      </w:r>
    </w:p>
    <w:p w14:paraId="272E7F83" w14:textId="6BF7E82D" w:rsidR="00265F69" w:rsidRDefault="008840AE" w:rsidP="008840AE">
      <w:pPr>
        <w:rPr>
          <w:rFonts w:ascii="Arial" w:hAnsi="Arial" w:cs="Arial"/>
          <w:sz w:val="24"/>
          <w:szCs w:val="24"/>
        </w:rPr>
      </w:pPr>
      <w:r>
        <w:rPr>
          <w:rFonts w:ascii="Arial" w:hAnsi="Arial" w:cs="Arial"/>
          <w:spacing w:val="2"/>
          <w:sz w:val="24"/>
          <w:szCs w:val="24"/>
          <w:lang w:val="en"/>
        </w:rPr>
        <w:t>Incidents involving medication errors have a number of causal factors including lack of knowledge, failure to adhere to appropriate protocols, interruptions, staff competency, poor instruction or communication, lack of training or basic human error.</w:t>
      </w:r>
      <w:r w:rsidR="00265F69">
        <w:rPr>
          <w:rFonts w:ascii="Arial" w:hAnsi="Arial" w:cs="Arial"/>
          <w:sz w:val="24"/>
          <w:szCs w:val="24"/>
        </w:rPr>
        <w:t xml:space="preserve"> </w:t>
      </w:r>
    </w:p>
    <w:p w14:paraId="346C5F83" w14:textId="79492306" w:rsidR="008840AE" w:rsidRDefault="008840AE" w:rsidP="006343D6">
      <w:pPr>
        <w:rPr>
          <w:rFonts w:ascii="Arial" w:hAnsi="Arial" w:cs="Arial"/>
          <w:b/>
          <w:sz w:val="24"/>
          <w:szCs w:val="24"/>
        </w:rPr>
      </w:pPr>
      <w:r>
        <w:rPr>
          <w:rFonts w:ascii="Arial" w:hAnsi="Arial" w:cs="Arial"/>
          <w:b/>
          <w:sz w:val="24"/>
          <w:szCs w:val="24"/>
        </w:rPr>
        <w:t>Medication errors</w:t>
      </w:r>
      <w:r w:rsidR="00E20518">
        <w:rPr>
          <w:rFonts w:ascii="Arial" w:hAnsi="Arial" w:cs="Arial"/>
          <w:b/>
          <w:sz w:val="24"/>
          <w:szCs w:val="24"/>
        </w:rPr>
        <w:t xml:space="preserve"> and safeguarding</w:t>
      </w:r>
    </w:p>
    <w:p w14:paraId="19A30122" w14:textId="6E41EE38" w:rsidR="001C1FFE" w:rsidRDefault="008840AE" w:rsidP="006343D6">
      <w:pPr>
        <w:rPr>
          <w:rFonts w:ascii="Arial" w:hAnsi="Arial" w:cs="Arial"/>
          <w:sz w:val="24"/>
          <w:szCs w:val="24"/>
        </w:rPr>
      </w:pPr>
      <w:r>
        <w:rPr>
          <w:rFonts w:ascii="Arial" w:hAnsi="Arial" w:cs="Arial"/>
          <w:b/>
          <w:i/>
          <w:sz w:val="24"/>
          <w:szCs w:val="24"/>
        </w:rPr>
        <w:t>A</w:t>
      </w:r>
      <w:r w:rsidR="00104E85" w:rsidRPr="009A18EC">
        <w:rPr>
          <w:rFonts w:ascii="Arial" w:hAnsi="Arial" w:cs="Arial"/>
          <w:b/>
          <w:i/>
          <w:sz w:val="24"/>
          <w:szCs w:val="24"/>
        </w:rPr>
        <w:t>gencies must use their own internal incident policy and processes and ensure that a</w:t>
      </w:r>
      <w:r w:rsidR="00E20518" w:rsidRPr="009A18EC">
        <w:rPr>
          <w:rFonts w:ascii="Arial" w:hAnsi="Arial" w:cs="Arial"/>
          <w:b/>
          <w:i/>
          <w:sz w:val="24"/>
          <w:szCs w:val="24"/>
        </w:rPr>
        <w:t xml:space="preserve">ll </w:t>
      </w:r>
      <w:r>
        <w:rPr>
          <w:rFonts w:ascii="Arial" w:hAnsi="Arial" w:cs="Arial"/>
          <w:b/>
          <w:i/>
          <w:sz w:val="24"/>
          <w:szCs w:val="24"/>
        </w:rPr>
        <w:t>medication errors</w:t>
      </w:r>
      <w:r w:rsidR="00E20518" w:rsidRPr="009A18EC">
        <w:rPr>
          <w:rFonts w:ascii="Arial" w:hAnsi="Arial" w:cs="Arial"/>
          <w:b/>
          <w:i/>
          <w:sz w:val="24"/>
          <w:szCs w:val="24"/>
        </w:rPr>
        <w:t xml:space="preserve"> </w:t>
      </w:r>
      <w:r w:rsidR="00104E85" w:rsidRPr="009A18EC">
        <w:rPr>
          <w:rFonts w:ascii="Arial" w:hAnsi="Arial" w:cs="Arial"/>
          <w:b/>
          <w:i/>
          <w:sz w:val="24"/>
          <w:szCs w:val="24"/>
        </w:rPr>
        <w:t xml:space="preserve">are </w:t>
      </w:r>
      <w:r w:rsidR="00E20518" w:rsidRPr="009A18EC">
        <w:rPr>
          <w:rFonts w:ascii="Arial" w:hAnsi="Arial" w:cs="Arial"/>
          <w:b/>
          <w:i/>
          <w:sz w:val="24"/>
          <w:szCs w:val="24"/>
        </w:rPr>
        <w:t>reported using the appropriate procedures</w:t>
      </w:r>
      <w:r w:rsidR="00104E85" w:rsidRPr="009A18EC">
        <w:rPr>
          <w:rFonts w:ascii="Arial" w:hAnsi="Arial" w:cs="Arial"/>
          <w:b/>
          <w:i/>
          <w:sz w:val="24"/>
          <w:szCs w:val="24"/>
        </w:rPr>
        <w:t xml:space="preserve">.  </w:t>
      </w:r>
      <w:r>
        <w:rPr>
          <w:rFonts w:ascii="Arial" w:hAnsi="Arial" w:cs="Arial"/>
          <w:b/>
          <w:i/>
          <w:sz w:val="24"/>
          <w:szCs w:val="24"/>
        </w:rPr>
        <w:t>No</w:t>
      </w:r>
      <w:r w:rsidR="00104E85" w:rsidRPr="009A18EC">
        <w:rPr>
          <w:rFonts w:ascii="Arial" w:hAnsi="Arial" w:cs="Arial"/>
          <w:b/>
          <w:i/>
          <w:sz w:val="24"/>
          <w:szCs w:val="24"/>
        </w:rPr>
        <w:t xml:space="preserve">t all </w:t>
      </w:r>
      <w:r>
        <w:rPr>
          <w:rFonts w:ascii="Arial" w:hAnsi="Arial" w:cs="Arial"/>
          <w:b/>
          <w:i/>
          <w:sz w:val="24"/>
          <w:szCs w:val="24"/>
        </w:rPr>
        <w:t>medication errors</w:t>
      </w:r>
      <w:r w:rsidR="00104E85" w:rsidRPr="009A18EC">
        <w:rPr>
          <w:rFonts w:ascii="Arial" w:hAnsi="Arial" w:cs="Arial"/>
          <w:b/>
          <w:i/>
          <w:sz w:val="24"/>
          <w:szCs w:val="24"/>
        </w:rPr>
        <w:t xml:space="preserve"> will require a safeguarding concern to be raised.</w:t>
      </w:r>
      <w:r w:rsidR="008C16BC">
        <w:rPr>
          <w:rFonts w:ascii="Arial" w:hAnsi="Arial" w:cs="Arial"/>
          <w:b/>
          <w:i/>
          <w:sz w:val="24"/>
          <w:szCs w:val="24"/>
        </w:rPr>
        <w:t xml:space="preserve">  </w:t>
      </w:r>
      <w:r w:rsidR="008C16BC" w:rsidRPr="001C1FFE">
        <w:rPr>
          <w:rFonts w:ascii="Arial" w:hAnsi="Arial" w:cs="Arial"/>
          <w:b/>
          <w:i/>
          <w:sz w:val="24"/>
          <w:szCs w:val="24"/>
        </w:rPr>
        <w:t>What is important is that each incident needs to be considered according to the individual circumstances of the situation and a professional judgement reached.</w:t>
      </w:r>
      <w:r w:rsidR="008C16BC">
        <w:rPr>
          <w:rFonts w:ascii="Arial" w:hAnsi="Arial" w:cs="Arial"/>
          <w:sz w:val="24"/>
          <w:szCs w:val="24"/>
        </w:rPr>
        <w:t xml:space="preserve">  </w:t>
      </w:r>
    </w:p>
    <w:p w14:paraId="7559F5B6" w14:textId="0776B9AE" w:rsidR="00F8470F" w:rsidRDefault="00F8470F" w:rsidP="006343D6">
      <w:pPr>
        <w:rPr>
          <w:rFonts w:ascii="Arial" w:hAnsi="Arial" w:cs="Arial"/>
          <w:sz w:val="24"/>
          <w:szCs w:val="24"/>
        </w:rPr>
      </w:pPr>
      <w:r>
        <w:rPr>
          <w:rFonts w:ascii="Arial" w:hAnsi="Arial" w:cs="Arial"/>
          <w:sz w:val="24"/>
          <w:szCs w:val="24"/>
        </w:rPr>
        <w:t>Note: the same principles outlined within this guidance apply to family carers as well as provider services.</w:t>
      </w:r>
    </w:p>
    <w:p w14:paraId="103F0B64" w14:textId="5DA4A5A9" w:rsidR="009A18EC" w:rsidRDefault="009A18EC" w:rsidP="006343D6">
      <w:pPr>
        <w:rPr>
          <w:rFonts w:ascii="Arial" w:hAnsi="Arial" w:cs="Arial"/>
          <w:b/>
          <w:sz w:val="24"/>
          <w:szCs w:val="24"/>
        </w:rPr>
      </w:pPr>
      <w:r w:rsidRPr="009A18EC">
        <w:rPr>
          <w:rFonts w:ascii="Arial" w:hAnsi="Arial" w:cs="Arial"/>
          <w:b/>
          <w:sz w:val="24"/>
          <w:szCs w:val="24"/>
        </w:rPr>
        <w:t>Responsibilities of care providers</w:t>
      </w:r>
    </w:p>
    <w:p w14:paraId="323E5FA6" w14:textId="6F28DCC0" w:rsidR="00B54D67" w:rsidRPr="00B54D67" w:rsidRDefault="00B54D67" w:rsidP="00B54D67">
      <w:pPr>
        <w:pStyle w:val="ListParagraph"/>
        <w:numPr>
          <w:ilvl w:val="0"/>
          <w:numId w:val="9"/>
        </w:numPr>
        <w:rPr>
          <w:rFonts w:ascii="Arial" w:hAnsi="Arial" w:cs="Arial"/>
          <w:sz w:val="24"/>
          <w:szCs w:val="24"/>
        </w:rPr>
      </w:pPr>
      <w:r w:rsidRPr="00B54D67">
        <w:rPr>
          <w:rFonts w:ascii="Arial" w:hAnsi="Arial" w:cs="Arial"/>
          <w:sz w:val="24"/>
          <w:szCs w:val="24"/>
        </w:rPr>
        <w:t>Care providers who are commissioned to provide any medication administration service are responsible for ensuring that people who require this service have their medicines at the times they need them and in a safe way.</w:t>
      </w:r>
    </w:p>
    <w:p w14:paraId="181816A1" w14:textId="7D8F3F0E" w:rsidR="00B54D67" w:rsidRDefault="00B54D67" w:rsidP="00B54D67">
      <w:pPr>
        <w:pStyle w:val="ListParagraph"/>
        <w:numPr>
          <w:ilvl w:val="0"/>
          <w:numId w:val="9"/>
        </w:numPr>
        <w:rPr>
          <w:rFonts w:ascii="Arial" w:hAnsi="Arial" w:cs="Arial"/>
          <w:sz w:val="24"/>
          <w:szCs w:val="24"/>
        </w:rPr>
      </w:pPr>
      <w:r w:rsidRPr="00B54D67">
        <w:rPr>
          <w:rFonts w:ascii="Arial" w:hAnsi="Arial" w:cs="Arial"/>
          <w:sz w:val="24"/>
          <w:szCs w:val="24"/>
        </w:rPr>
        <w:t>Care providers must have clear procedures in place which include arrangements for reporting adverse events, adverse drug reactions, incidents, errors and near misses relating to medicines.</w:t>
      </w:r>
    </w:p>
    <w:p w14:paraId="570F5CC7" w14:textId="27040BC8" w:rsidR="00B54D67" w:rsidRPr="00B54D67" w:rsidRDefault="00B54D67" w:rsidP="00B54D67">
      <w:pPr>
        <w:pStyle w:val="ListParagraph"/>
        <w:numPr>
          <w:ilvl w:val="0"/>
          <w:numId w:val="9"/>
        </w:numPr>
        <w:rPr>
          <w:rFonts w:ascii="Arial" w:hAnsi="Arial" w:cs="Arial"/>
          <w:sz w:val="24"/>
          <w:szCs w:val="24"/>
        </w:rPr>
      </w:pPr>
      <w:r>
        <w:rPr>
          <w:rFonts w:ascii="Arial" w:hAnsi="Arial" w:cs="Arial"/>
          <w:sz w:val="24"/>
          <w:szCs w:val="24"/>
        </w:rPr>
        <w:lastRenderedPageBreak/>
        <w:t>These arrangements should encourage local and where appropriate national reporting and learning, and promote an open honest culture of safety.</w:t>
      </w:r>
    </w:p>
    <w:p w14:paraId="635FD4F8" w14:textId="4B3C69A3" w:rsidR="00B54D67" w:rsidRDefault="00B54D67" w:rsidP="006343D6">
      <w:pPr>
        <w:rPr>
          <w:rFonts w:ascii="Arial" w:hAnsi="Arial" w:cs="Arial"/>
          <w:b/>
          <w:sz w:val="24"/>
          <w:szCs w:val="24"/>
        </w:rPr>
      </w:pPr>
      <w:r>
        <w:rPr>
          <w:rFonts w:ascii="Arial" w:hAnsi="Arial" w:cs="Arial"/>
          <w:b/>
          <w:sz w:val="24"/>
          <w:szCs w:val="24"/>
        </w:rPr>
        <w:t>Statutory requirements of care providers around reporting medication errors</w:t>
      </w:r>
    </w:p>
    <w:p w14:paraId="67AD74BE" w14:textId="56E911D9" w:rsidR="00B54D67" w:rsidRDefault="00B54D67" w:rsidP="00B54D67">
      <w:pPr>
        <w:pStyle w:val="ListParagraph"/>
        <w:numPr>
          <w:ilvl w:val="0"/>
          <w:numId w:val="10"/>
        </w:numPr>
        <w:rPr>
          <w:rFonts w:ascii="Arial" w:hAnsi="Arial" w:cs="Arial"/>
          <w:sz w:val="24"/>
          <w:szCs w:val="24"/>
        </w:rPr>
      </w:pPr>
      <w:r>
        <w:rPr>
          <w:rFonts w:ascii="Arial" w:hAnsi="Arial" w:cs="Arial"/>
          <w:sz w:val="24"/>
          <w:szCs w:val="24"/>
        </w:rPr>
        <w:t>The registered person must protect adults in their service against the risks of unsafe use and management of medicines, by means of appropriate arrangements for the obtaining, recording, handling, using, safe keeping, dispensing, safe administration and disposal of medicines used for the purpose of the regulated activity.</w:t>
      </w:r>
    </w:p>
    <w:p w14:paraId="22B362FC" w14:textId="465E836E" w:rsidR="00B54D67" w:rsidRPr="00B54D67" w:rsidRDefault="00B54D67" w:rsidP="00B54D67">
      <w:pPr>
        <w:pStyle w:val="ListParagraph"/>
        <w:numPr>
          <w:ilvl w:val="0"/>
          <w:numId w:val="10"/>
        </w:numPr>
        <w:rPr>
          <w:rFonts w:ascii="Arial" w:hAnsi="Arial" w:cs="Arial"/>
          <w:sz w:val="24"/>
          <w:szCs w:val="24"/>
        </w:rPr>
      </w:pPr>
      <w:r>
        <w:rPr>
          <w:rFonts w:ascii="Arial" w:hAnsi="Arial" w:cs="Arial"/>
          <w:sz w:val="24"/>
          <w:szCs w:val="24"/>
        </w:rPr>
        <w:t>All medication errors should be reported in line with the care providers management of incidents policy as soon as possible after the incident.</w:t>
      </w:r>
    </w:p>
    <w:p w14:paraId="2081110D" w14:textId="68594175" w:rsidR="00E20518" w:rsidRDefault="009A18EC" w:rsidP="006343D6">
      <w:pPr>
        <w:rPr>
          <w:rFonts w:ascii="Arial" w:hAnsi="Arial" w:cs="Arial"/>
          <w:b/>
          <w:sz w:val="24"/>
          <w:szCs w:val="24"/>
        </w:rPr>
      </w:pPr>
      <w:r w:rsidRPr="009A18EC">
        <w:rPr>
          <w:rFonts w:ascii="Arial" w:hAnsi="Arial" w:cs="Arial"/>
          <w:b/>
          <w:sz w:val="24"/>
          <w:szCs w:val="24"/>
        </w:rPr>
        <w:t>Good pra</w:t>
      </w:r>
      <w:r w:rsidR="00B54D67">
        <w:rPr>
          <w:rFonts w:ascii="Arial" w:hAnsi="Arial" w:cs="Arial"/>
          <w:b/>
          <w:sz w:val="24"/>
          <w:szCs w:val="24"/>
        </w:rPr>
        <w:t>ctice in the management of medication errors</w:t>
      </w:r>
    </w:p>
    <w:p w14:paraId="433124E2" w14:textId="256EC91B" w:rsidR="00B54D67" w:rsidRDefault="00B54D67" w:rsidP="001C1FFE">
      <w:pPr>
        <w:pStyle w:val="ListParagraph"/>
        <w:numPr>
          <w:ilvl w:val="0"/>
          <w:numId w:val="3"/>
        </w:numPr>
        <w:rPr>
          <w:rFonts w:ascii="Arial" w:hAnsi="Arial" w:cs="Arial"/>
          <w:sz w:val="24"/>
          <w:szCs w:val="24"/>
        </w:rPr>
      </w:pPr>
      <w:r>
        <w:rPr>
          <w:rFonts w:ascii="Arial" w:hAnsi="Arial" w:cs="Arial"/>
          <w:sz w:val="24"/>
          <w:szCs w:val="24"/>
        </w:rPr>
        <w:t>The organisation must have clear procedures for staff detailing how a medication error should be recorded, including specific processes for controlled drugs and reporting mechanisms to the Controlled Drug Accountable Officer (CDAO).</w:t>
      </w:r>
    </w:p>
    <w:p w14:paraId="3367853A" w14:textId="4A3B5AB4" w:rsidR="00B54D67" w:rsidRDefault="00B54D67" w:rsidP="001C1FFE">
      <w:pPr>
        <w:pStyle w:val="ListParagraph"/>
        <w:numPr>
          <w:ilvl w:val="0"/>
          <w:numId w:val="3"/>
        </w:numPr>
        <w:rPr>
          <w:rFonts w:ascii="Arial" w:hAnsi="Arial" w:cs="Arial"/>
          <w:sz w:val="24"/>
          <w:szCs w:val="24"/>
        </w:rPr>
      </w:pPr>
      <w:r>
        <w:rPr>
          <w:rFonts w:ascii="Arial" w:hAnsi="Arial" w:cs="Arial"/>
          <w:sz w:val="24"/>
          <w:szCs w:val="24"/>
        </w:rPr>
        <w:t>All medication errors, including near misses must be recorded.  This record must detail the impact of the error, any immediate action taken and record the date, time, and names of staff and adults using the service who are involved.</w:t>
      </w:r>
    </w:p>
    <w:p w14:paraId="4F0692D2" w14:textId="749B1C26" w:rsidR="00B54D67" w:rsidRDefault="00B54D67" w:rsidP="001C1FFE">
      <w:pPr>
        <w:pStyle w:val="ListParagraph"/>
        <w:numPr>
          <w:ilvl w:val="0"/>
          <w:numId w:val="3"/>
        </w:numPr>
        <w:rPr>
          <w:rFonts w:ascii="Arial" w:hAnsi="Arial" w:cs="Arial"/>
          <w:sz w:val="24"/>
          <w:szCs w:val="24"/>
        </w:rPr>
      </w:pPr>
      <w:r>
        <w:rPr>
          <w:rFonts w:ascii="Arial" w:hAnsi="Arial" w:cs="Arial"/>
          <w:sz w:val="24"/>
          <w:szCs w:val="24"/>
        </w:rPr>
        <w:t>The error should be reviewed and an action plan put in place to ensure lessons are learnt and the risk of the error being repeated is reduced.  It is also important to review the error in the context of prev</w:t>
      </w:r>
      <w:r w:rsidR="00A01DFB">
        <w:rPr>
          <w:rFonts w:ascii="Arial" w:hAnsi="Arial" w:cs="Arial"/>
          <w:sz w:val="24"/>
          <w:szCs w:val="24"/>
        </w:rPr>
        <w:t xml:space="preserve">iously recorded errors </w:t>
      </w:r>
      <w:r>
        <w:rPr>
          <w:rFonts w:ascii="Arial" w:hAnsi="Arial" w:cs="Arial"/>
          <w:sz w:val="24"/>
          <w:szCs w:val="24"/>
        </w:rPr>
        <w:t>s</w:t>
      </w:r>
      <w:r w:rsidR="00A01DFB">
        <w:rPr>
          <w:rFonts w:ascii="Arial" w:hAnsi="Arial" w:cs="Arial"/>
          <w:sz w:val="24"/>
          <w:szCs w:val="24"/>
        </w:rPr>
        <w:t>ince</w:t>
      </w:r>
      <w:r>
        <w:rPr>
          <w:rFonts w:ascii="Arial" w:hAnsi="Arial" w:cs="Arial"/>
          <w:sz w:val="24"/>
          <w:szCs w:val="24"/>
        </w:rPr>
        <w:t xml:space="preserve"> a series of similar incidents may meet the criteria for a safeguarding </w:t>
      </w:r>
      <w:r w:rsidR="00A01DFB">
        <w:rPr>
          <w:rFonts w:ascii="Arial" w:hAnsi="Arial" w:cs="Arial"/>
          <w:sz w:val="24"/>
          <w:szCs w:val="24"/>
        </w:rPr>
        <w:t xml:space="preserve">concern to be raised.  </w:t>
      </w:r>
      <w:r>
        <w:rPr>
          <w:rFonts w:ascii="Arial" w:hAnsi="Arial" w:cs="Arial"/>
          <w:sz w:val="24"/>
          <w:szCs w:val="24"/>
        </w:rPr>
        <w:t xml:space="preserve"> </w:t>
      </w:r>
    </w:p>
    <w:p w14:paraId="113EBFD0" w14:textId="77777777" w:rsidR="00FB3B11" w:rsidRDefault="00FB3B11" w:rsidP="00FB3B11">
      <w:pPr>
        <w:pStyle w:val="ListParagraph"/>
        <w:rPr>
          <w:rFonts w:ascii="Arial" w:hAnsi="Arial" w:cs="Arial"/>
          <w:sz w:val="24"/>
          <w:szCs w:val="24"/>
        </w:rPr>
      </w:pPr>
    </w:p>
    <w:p w14:paraId="610E3B6E" w14:textId="207C822C" w:rsidR="00FB3B11" w:rsidRDefault="00FB3B11" w:rsidP="00A01DFB">
      <w:pPr>
        <w:pStyle w:val="ListParagraph"/>
        <w:ind w:left="0"/>
        <w:rPr>
          <w:rFonts w:ascii="Arial" w:hAnsi="Arial" w:cs="Arial"/>
          <w:b/>
          <w:i/>
          <w:sz w:val="24"/>
          <w:szCs w:val="24"/>
        </w:rPr>
      </w:pPr>
      <w:r>
        <w:rPr>
          <w:rFonts w:ascii="Arial" w:hAnsi="Arial" w:cs="Arial"/>
          <w:b/>
          <w:i/>
          <w:sz w:val="24"/>
          <w:szCs w:val="24"/>
        </w:rPr>
        <w:t>The Care Quality Commission (CQC), as part of their inspection process, will require written evidence to confirm that internal reviews, including subsequent actions, have taken place.</w:t>
      </w:r>
    </w:p>
    <w:p w14:paraId="14017313" w14:textId="2F54E6BF" w:rsidR="005B5359" w:rsidRDefault="005B5359" w:rsidP="005B5359">
      <w:pPr>
        <w:rPr>
          <w:rFonts w:ascii="Arial" w:hAnsi="Arial" w:cs="Arial"/>
          <w:b/>
          <w:sz w:val="24"/>
          <w:szCs w:val="24"/>
        </w:rPr>
      </w:pPr>
      <w:r>
        <w:rPr>
          <w:rFonts w:ascii="Arial" w:hAnsi="Arial" w:cs="Arial"/>
          <w:b/>
          <w:sz w:val="24"/>
          <w:szCs w:val="24"/>
        </w:rPr>
        <w:t xml:space="preserve">Raising a safeguarding concern </w:t>
      </w:r>
      <w:r w:rsidR="001A1111">
        <w:rPr>
          <w:rFonts w:ascii="Arial" w:hAnsi="Arial" w:cs="Arial"/>
          <w:b/>
          <w:sz w:val="24"/>
          <w:szCs w:val="24"/>
        </w:rPr>
        <w:t>for a medication error</w:t>
      </w:r>
      <w:r>
        <w:rPr>
          <w:rFonts w:ascii="Arial" w:hAnsi="Arial" w:cs="Arial"/>
          <w:b/>
          <w:sz w:val="24"/>
          <w:szCs w:val="24"/>
        </w:rPr>
        <w:t xml:space="preserve"> </w:t>
      </w:r>
    </w:p>
    <w:p w14:paraId="1D25611D" w14:textId="30264FEB" w:rsidR="005B5359" w:rsidRDefault="005B5359" w:rsidP="005B5359">
      <w:pPr>
        <w:rPr>
          <w:rFonts w:ascii="Arial" w:hAnsi="Arial" w:cs="Arial"/>
          <w:sz w:val="24"/>
          <w:szCs w:val="24"/>
        </w:rPr>
      </w:pPr>
      <w:r>
        <w:rPr>
          <w:rFonts w:ascii="Arial" w:hAnsi="Arial" w:cs="Arial"/>
          <w:sz w:val="24"/>
          <w:szCs w:val="24"/>
        </w:rPr>
        <w:t>Under the Care Act 2014 agencies have a legal responsibility to raise a safeguarding concern with the local authority where there is a suspicion that abuse of an adult with care and support needs has taken place as a result of neglect or omission of care.</w:t>
      </w:r>
    </w:p>
    <w:p w14:paraId="70FFC574" w14:textId="77777777" w:rsidR="005B5359" w:rsidRPr="005B5359" w:rsidRDefault="005B5359" w:rsidP="005B5359">
      <w:pPr>
        <w:rPr>
          <w:rFonts w:ascii="Arial" w:hAnsi="Arial" w:cs="Arial"/>
          <w:b/>
          <w:sz w:val="24"/>
          <w:szCs w:val="24"/>
        </w:rPr>
      </w:pPr>
      <w:r w:rsidRPr="005B5359">
        <w:rPr>
          <w:rFonts w:ascii="Arial" w:hAnsi="Arial" w:cs="Arial"/>
          <w:b/>
          <w:sz w:val="24"/>
          <w:szCs w:val="24"/>
        </w:rPr>
        <w:t>Situations in which a safeguarding concern should be raised:</w:t>
      </w:r>
    </w:p>
    <w:p w14:paraId="061746D3" w14:textId="67CBB6E7" w:rsidR="001A1111" w:rsidRDefault="005B5359" w:rsidP="001C1FFE">
      <w:pPr>
        <w:pStyle w:val="ListParagraph"/>
        <w:numPr>
          <w:ilvl w:val="0"/>
          <w:numId w:val="5"/>
        </w:numPr>
        <w:rPr>
          <w:rFonts w:ascii="Arial" w:hAnsi="Arial" w:cs="Arial"/>
          <w:sz w:val="24"/>
          <w:szCs w:val="24"/>
        </w:rPr>
      </w:pPr>
      <w:r w:rsidRPr="005B5359">
        <w:rPr>
          <w:rFonts w:ascii="Arial" w:hAnsi="Arial" w:cs="Arial"/>
          <w:sz w:val="24"/>
          <w:szCs w:val="24"/>
        </w:rPr>
        <w:t>Where a</w:t>
      </w:r>
      <w:r w:rsidR="001A1111">
        <w:rPr>
          <w:rFonts w:ascii="Arial" w:hAnsi="Arial" w:cs="Arial"/>
          <w:sz w:val="24"/>
          <w:szCs w:val="24"/>
        </w:rPr>
        <w:t xml:space="preserve"> medication error leads to actual harm or death.  Possible examples include:</w:t>
      </w:r>
    </w:p>
    <w:p w14:paraId="30D7F481" w14:textId="21EF3F5C" w:rsidR="001A1111" w:rsidRDefault="001A1111" w:rsidP="001A1111">
      <w:pPr>
        <w:pStyle w:val="ListParagraph"/>
        <w:numPr>
          <w:ilvl w:val="1"/>
          <w:numId w:val="5"/>
        </w:numPr>
        <w:rPr>
          <w:rFonts w:ascii="Arial" w:hAnsi="Arial" w:cs="Arial"/>
          <w:sz w:val="24"/>
          <w:szCs w:val="24"/>
        </w:rPr>
      </w:pPr>
      <w:r>
        <w:rPr>
          <w:rFonts w:ascii="Arial" w:hAnsi="Arial" w:cs="Arial"/>
          <w:sz w:val="24"/>
          <w:szCs w:val="24"/>
        </w:rPr>
        <w:t>People left without pain relief resulting in a prolonged period of pain.</w:t>
      </w:r>
    </w:p>
    <w:p w14:paraId="4A56CBEB" w14:textId="77777777" w:rsidR="001A1111" w:rsidRDefault="001A1111" w:rsidP="001A1111">
      <w:pPr>
        <w:pStyle w:val="ListParagraph"/>
        <w:numPr>
          <w:ilvl w:val="1"/>
          <w:numId w:val="5"/>
        </w:numPr>
        <w:rPr>
          <w:rFonts w:ascii="Arial" w:hAnsi="Arial" w:cs="Arial"/>
          <w:sz w:val="24"/>
          <w:szCs w:val="24"/>
        </w:rPr>
      </w:pPr>
      <w:r>
        <w:rPr>
          <w:rFonts w:ascii="Arial" w:hAnsi="Arial" w:cs="Arial"/>
          <w:sz w:val="24"/>
          <w:szCs w:val="24"/>
        </w:rPr>
        <w:t>Significant deterioration in physical or mental wellbeing due to missed medication.</w:t>
      </w:r>
    </w:p>
    <w:p w14:paraId="72318AFE" w14:textId="77777777" w:rsidR="001A1111" w:rsidRDefault="001A1111" w:rsidP="001A1111">
      <w:pPr>
        <w:pStyle w:val="ListParagraph"/>
        <w:numPr>
          <w:ilvl w:val="1"/>
          <w:numId w:val="5"/>
        </w:numPr>
        <w:rPr>
          <w:rFonts w:ascii="Arial" w:hAnsi="Arial" w:cs="Arial"/>
          <w:sz w:val="24"/>
          <w:szCs w:val="24"/>
        </w:rPr>
      </w:pPr>
      <w:r>
        <w:rPr>
          <w:rFonts w:ascii="Arial" w:hAnsi="Arial" w:cs="Arial"/>
          <w:sz w:val="24"/>
          <w:szCs w:val="24"/>
        </w:rPr>
        <w:t>Significant emotional distress.</w:t>
      </w:r>
    </w:p>
    <w:p w14:paraId="5B153969" w14:textId="77777777" w:rsidR="001A1111" w:rsidRDefault="001A1111" w:rsidP="001A1111">
      <w:pPr>
        <w:pStyle w:val="ListParagraph"/>
        <w:numPr>
          <w:ilvl w:val="1"/>
          <w:numId w:val="5"/>
        </w:numPr>
        <w:rPr>
          <w:rFonts w:ascii="Arial" w:hAnsi="Arial" w:cs="Arial"/>
          <w:sz w:val="24"/>
          <w:szCs w:val="24"/>
        </w:rPr>
      </w:pPr>
      <w:r>
        <w:rPr>
          <w:rFonts w:ascii="Arial" w:hAnsi="Arial" w:cs="Arial"/>
          <w:sz w:val="24"/>
          <w:szCs w:val="24"/>
        </w:rPr>
        <w:lastRenderedPageBreak/>
        <w:t>Elongation of an illness due to prescribed medication not being given.</w:t>
      </w:r>
    </w:p>
    <w:p w14:paraId="518E8DCF" w14:textId="77777777" w:rsidR="001A1111" w:rsidRDefault="001A1111" w:rsidP="001A1111">
      <w:pPr>
        <w:pStyle w:val="ListParagraph"/>
        <w:numPr>
          <w:ilvl w:val="1"/>
          <w:numId w:val="5"/>
        </w:numPr>
        <w:rPr>
          <w:rFonts w:ascii="Arial" w:hAnsi="Arial" w:cs="Arial"/>
          <w:sz w:val="24"/>
          <w:szCs w:val="24"/>
        </w:rPr>
      </w:pPr>
      <w:r>
        <w:rPr>
          <w:rFonts w:ascii="Arial" w:hAnsi="Arial" w:cs="Arial"/>
          <w:sz w:val="24"/>
          <w:szCs w:val="24"/>
        </w:rPr>
        <w:t>Adverse effects causing significant harm due to wrong mediation being administered.</w:t>
      </w:r>
    </w:p>
    <w:p w14:paraId="76E76BC2" w14:textId="7EBE4760" w:rsidR="001A1111" w:rsidRDefault="001A1111" w:rsidP="001A1111">
      <w:pPr>
        <w:pStyle w:val="ListParagraph"/>
        <w:numPr>
          <w:ilvl w:val="0"/>
          <w:numId w:val="5"/>
        </w:numPr>
        <w:rPr>
          <w:rFonts w:ascii="Arial" w:hAnsi="Arial" w:cs="Arial"/>
          <w:sz w:val="24"/>
          <w:szCs w:val="24"/>
        </w:rPr>
      </w:pPr>
      <w:r>
        <w:rPr>
          <w:rFonts w:ascii="Arial" w:hAnsi="Arial" w:cs="Arial"/>
          <w:sz w:val="24"/>
          <w:szCs w:val="24"/>
        </w:rPr>
        <w:t xml:space="preserve">Any medication error </w:t>
      </w:r>
      <w:r w:rsidR="00F8470F">
        <w:rPr>
          <w:rFonts w:ascii="Arial" w:hAnsi="Arial" w:cs="Arial"/>
          <w:sz w:val="24"/>
          <w:szCs w:val="24"/>
        </w:rPr>
        <w:t xml:space="preserve">requiring </w:t>
      </w:r>
      <w:r w:rsidR="001256D2">
        <w:rPr>
          <w:rFonts w:ascii="Arial" w:hAnsi="Arial" w:cs="Arial"/>
          <w:sz w:val="24"/>
          <w:szCs w:val="24"/>
        </w:rPr>
        <w:t xml:space="preserve">urgent </w:t>
      </w:r>
      <w:r w:rsidR="00F8470F">
        <w:rPr>
          <w:rFonts w:ascii="Arial" w:hAnsi="Arial" w:cs="Arial"/>
          <w:sz w:val="24"/>
          <w:szCs w:val="24"/>
        </w:rPr>
        <w:t>medical attention</w:t>
      </w:r>
      <w:r w:rsidR="001256D2">
        <w:rPr>
          <w:rFonts w:ascii="Arial" w:hAnsi="Arial" w:cs="Arial"/>
          <w:sz w:val="24"/>
          <w:szCs w:val="24"/>
        </w:rPr>
        <w:t xml:space="preserve"> as significant harm may have been caused</w:t>
      </w:r>
      <w:r w:rsidR="00F8470F">
        <w:rPr>
          <w:rFonts w:ascii="Arial" w:hAnsi="Arial" w:cs="Arial"/>
          <w:sz w:val="24"/>
          <w:szCs w:val="24"/>
        </w:rPr>
        <w:t>.  Possible examples include:</w:t>
      </w:r>
    </w:p>
    <w:p w14:paraId="3FBA1CC5" w14:textId="7AF8EFE4"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Attendance at A&amp;E.</w:t>
      </w:r>
    </w:p>
    <w:p w14:paraId="1901F3F6" w14:textId="09B8AF5E" w:rsidR="00F8470F" w:rsidRDefault="001256D2" w:rsidP="00F8470F">
      <w:pPr>
        <w:pStyle w:val="ListParagraph"/>
        <w:numPr>
          <w:ilvl w:val="1"/>
          <w:numId w:val="5"/>
        </w:numPr>
        <w:rPr>
          <w:rFonts w:ascii="Arial" w:hAnsi="Arial" w:cs="Arial"/>
          <w:sz w:val="24"/>
          <w:szCs w:val="24"/>
        </w:rPr>
      </w:pPr>
      <w:r>
        <w:rPr>
          <w:rFonts w:ascii="Arial" w:hAnsi="Arial" w:cs="Arial"/>
          <w:sz w:val="24"/>
          <w:szCs w:val="24"/>
        </w:rPr>
        <w:t>N</w:t>
      </w:r>
      <w:r w:rsidR="00F8470F">
        <w:rPr>
          <w:rFonts w:ascii="Arial" w:hAnsi="Arial" w:cs="Arial"/>
          <w:sz w:val="24"/>
          <w:szCs w:val="24"/>
        </w:rPr>
        <w:t>eed for an urgent review by a health professional such as a district nurse, GP or paramedic.</w:t>
      </w:r>
    </w:p>
    <w:p w14:paraId="2E222F22" w14:textId="173454DA" w:rsidR="00F8470F" w:rsidRDefault="00F8470F" w:rsidP="00F8470F">
      <w:pPr>
        <w:pStyle w:val="ListParagraph"/>
        <w:numPr>
          <w:ilvl w:val="0"/>
          <w:numId w:val="5"/>
        </w:numPr>
        <w:rPr>
          <w:rFonts w:ascii="Arial" w:hAnsi="Arial" w:cs="Arial"/>
          <w:sz w:val="24"/>
          <w:szCs w:val="24"/>
        </w:rPr>
      </w:pPr>
      <w:r>
        <w:rPr>
          <w:rFonts w:ascii="Arial" w:hAnsi="Arial" w:cs="Arial"/>
          <w:sz w:val="24"/>
          <w:szCs w:val="24"/>
        </w:rPr>
        <w:t>Any medication error which was a deliberate act.  Possible examples include:</w:t>
      </w:r>
    </w:p>
    <w:p w14:paraId="57939E5B" w14:textId="02F720E7"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Malicious intent to cause harm.</w:t>
      </w:r>
    </w:p>
    <w:p w14:paraId="552EE43F" w14:textId="284AFDBF"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Inappropriate use of PRN medication.</w:t>
      </w:r>
    </w:p>
    <w:p w14:paraId="5DB5F37D" w14:textId="615C188C"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Use of medication to control behaviour or restrict an individual.</w:t>
      </w:r>
    </w:p>
    <w:p w14:paraId="25268FEC" w14:textId="2176B17E" w:rsidR="00F8470F" w:rsidRDefault="00F8470F" w:rsidP="00F8470F">
      <w:pPr>
        <w:pStyle w:val="ListParagraph"/>
        <w:numPr>
          <w:ilvl w:val="0"/>
          <w:numId w:val="5"/>
        </w:numPr>
        <w:rPr>
          <w:rFonts w:ascii="Arial" w:hAnsi="Arial" w:cs="Arial"/>
          <w:sz w:val="24"/>
          <w:szCs w:val="24"/>
        </w:rPr>
      </w:pPr>
      <w:r>
        <w:rPr>
          <w:rFonts w:ascii="Arial" w:hAnsi="Arial" w:cs="Arial"/>
          <w:sz w:val="24"/>
          <w:szCs w:val="24"/>
        </w:rPr>
        <w:t>Where a medication error is part of a pattern or culture.  Possible examples include:</w:t>
      </w:r>
    </w:p>
    <w:p w14:paraId="7A66CA9A" w14:textId="42A3781D"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The same medication being omitted repeatedly.</w:t>
      </w:r>
    </w:p>
    <w:p w14:paraId="4AAD78A9" w14:textId="77777777"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The same member of staff repeatedly failing to administer medication appropriately.</w:t>
      </w:r>
    </w:p>
    <w:p w14:paraId="1DA08B88" w14:textId="77777777" w:rsidR="00F8470F" w:rsidRDefault="00F8470F" w:rsidP="00F8470F">
      <w:pPr>
        <w:pStyle w:val="ListParagraph"/>
        <w:numPr>
          <w:ilvl w:val="1"/>
          <w:numId w:val="5"/>
        </w:numPr>
        <w:rPr>
          <w:rFonts w:ascii="Arial" w:hAnsi="Arial" w:cs="Arial"/>
          <w:sz w:val="24"/>
          <w:szCs w:val="24"/>
        </w:rPr>
      </w:pPr>
      <w:r>
        <w:rPr>
          <w:rFonts w:ascii="Arial" w:hAnsi="Arial" w:cs="Arial"/>
          <w:sz w:val="24"/>
          <w:szCs w:val="24"/>
        </w:rPr>
        <w:t>The same adult(s) within a service being repeatedly being affected by the medication error regardless of level of harm.</w:t>
      </w:r>
    </w:p>
    <w:p w14:paraId="74230576" w14:textId="7E957726" w:rsidR="00F8470F" w:rsidRPr="00F8470F" w:rsidRDefault="00F8470F" w:rsidP="00F8470F">
      <w:pPr>
        <w:rPr>
          <w:rFonts w:ascii="Arial" w:hAnsi="Arial" w:cs="Arial"/>
          <w:b/>
          <w:sz w:val="24"/>
          <w:szCs w:val="24"/>
        </w:rPr>
      </w:pPr>
      <w:r w:rsidRPr="00F8470F">
        <w:rPr>
          <w:rFonts w:ascii="Arial" w:hAnsi="Arial" w:cs="Arial"/>
          <w:b/>
          <w:sz w:val="24"/>
          <w:szCs w:val="24"/>
        </w:rPr>
        <w:t>Systemic failings</w:t>
      </w:r>
    </w:p>
    <w:p w14:paraId="4AABB6FE" w14:textId="77777777" w:rsidR="00F8470F" w:rsidRDefault="00F8470F" w:rsidP="00F8470F">
      <w:pPr>
        <w:rPr>
          <w:rFonts w:ascii="Arial" w:hAnsi="Arial" w:cs="Arial"/>
          <w:sz w:val="24"/>
          <w:szCs w:val="24"/>
        </w:rPr>
      </w:pPr>
      <w:r>
        <w:rPr>
          <w:rFonts w:ascii="Arial" w:hAnsi="Arial" w:cs="Arial"/>
          <w:sz w:val="24"/>
          <w:szCs w:val="24"/>
        </w:rPr>
        <w:t>Where there are systemic failings in a providers’ medication management process which leads to repeated medication errors, consideration should be given as to whether a safeguarding enquiry into organisational abuse is warranted.  There is an obligation on all services involve to identify such failings and ensure that safeguarding concerns are raised where necessary, and that issues are addressed.</w:t>
      </w:r>
    </w:p>
    <w:p w14:paraId="0325225A" w14:textId="3DDD76CA" w:rsidR="00F8470F" w:rsidRDefault="00F8470F" w:rsidP="00F8470F">
      <w:pPr>
        <w:rPr>
          <w:rFonts w:ascii="Arial" w:hAnsi="Arial" w:cs="Arial"/>
          <w:sz w:val="24"/>
          <w:szCs w:val="24"/>
        </w:rPr>
      </w:pPr>
      <w:r>
        <w:rPr>
          <w:rFonts w:ascii="Arial" w:hAnsi="Arial" w:cs="Arial"/>
          <w:b/>
          <w:sz w:val="24"/>
          <w:szCs w:val="24"/>
        </w:rPr>
        <w:t>Covert medication</w:t>
      </w:r>
      <w:r w:rsidRPr="00F8470F">
        <w:rPr>
          <w:rFonts w:ascii="Arial" w:hAnsi="Arial" w:cs="Arial"/>
          <w:sz w:val="24"/>
          <w:szCs w:val="24"/>
        </w:rPr>
        <w:t xml:space="preserve">  </w:t>
      </w:r>
    </w:p>
    <w:p w14:paraId="4708F39A" w14:textId="4BC1C545" w:rsidR="00F8470F" w:rsidRPr="00F8470F" w:rsidRDefault="00F8470F" w:rsidP="00F8470F">
      <w:pPr>
        <w:rPr>
          <w:rFonts w:ascii="Arial" w:hAnsi="Arial" w:cs="Arial"/>
          <w:sz w:val="24"/>
          <w:szCs w:val="24"/>
        </w:rPr>
      </w:pPr>
      <w:r>
        <w:rPr>
          <w:rFonts w:ascii="Arial" w:hAnsi="Arial" w:cs="Arial"/>
          <w:sz w:val="24"/>
          <w:szCs w:val="24"/>
        </w:rPr>
        <w:t>A safeguarding concern should always be raised when medication has been administered covertly without appropriate due consideration to issues of consent, and in situations where the person lacks capacity adherence to the Mental Capacity Act 2005 and the Best Interests Decision Making process.</w:t>
      </w:r>
    </w:p>
    <w:p w14:paraId="6EFF47A6" w14:textId="1B987C5D" w:rsidR="003061C6" w:rsidRPr="003061C6" w:rsidRDefault="003061C6" w:rsidP="003061C6">
      <w:pPr>
        <w:rPr>
          <w:rFonts w:ascii="Arial" w:hAnsi="Arial" w:cs="Arial"/>
          <w:b/>
          <w:sz w:val="24"/>
          <w:szCs w:val="24"/>
        </w:rPr>
      </w:pPr>
      <w:r w:rsidRPr="003061C6">
        <w:rPr>
          <w:rFonts w:ascii="Arial" w:hAnsi="Arial" w:cs="Arial"/>
          <w:b/>
          <w:i/>
          <w:sz w:val="24"/>
          <w:szCs w:val="24"/>
        </w:rPr>
        <w:t xml:space="preserve">If there </w:t>
      </w:r>
      <w:r>
        <w:rPr>
          <w:rFonts w:ascii="Arial" w:hAnsi="Arial" w:cs="Arial"/>
          <w:b/>
          <w:i/>
          <w:sz w:val="24"/>
          <w:szCs w:val="24"/>
        </w:rPr>
        <w:t xml:space="preserve">is any doubt as to whether to raise a safeguarding concern you should contact Health and Social Care Connect for further consultation on 0345 60 80 191. </w:t>
      </w:r>
    </w:p>
    <w:sectPr w:rsidR="003061C6" w:rsidRPr="003061C6" w:rsidSect="00AC677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8453" w14:textId="77777777" w:rsidR="00344FE0" w:rsidRDefault="00344FE0" w:rsidP="00431652">
      <w:pPr>
        <w:spacing w:after="0" w:line="240" w:lineRule="auto"/>
      </w:pPr>
      <w:r>
        <w:separator/>
      </w:r>
    </w:p>
  </w:endnote>
  <w:endnote w:type="continuationSeparator" w:id="0">
    <w:p w14:paraId="7E228454" w14:textId="77777777" w:rsidR="00344FE0" w:rsidRDefault="00344FE0" w:rsidP="0043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C205" w14:textId="77777777" w:rsidR="0066536B" w:rsidRDefault="0066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51FD1" w14:paraId="7E228458" w14:textId="77777777">
      <w:tc>
        <w:tcPr>
          <w:tcW w:w="918" w:type="dxa"/>
        </w:tcPr>
        <w:p w14:paraId="7E228456" w14:textId="77777777" w:rsidR="00151FD1" w:rsidRDefault="00151FD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C298F" w:rsidRPr="007C298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228457" w14:textId="77777777" w:rsidR="00151FD1" w:rsidRDefault="00151FD1">
          <w:pPr>
            <w:pStyle w:val="Footer"/>
          </w:pPr>
        </w:p>
      </w:tc>
    </w:tr>
  </w:tbl>
  <w:p w14:paraId="7E228459" w14:textId="77777777" w:rsidR="00151FD1" w:rsidRDefault="00151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A1E6" w14:textId="77777777" w:rsidR="0066536B" w:rsidRDefault="0066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8451" w14:textId="77777777" w:rsidR="00344FE0" w:rsidRDefault="00344FE0" w:rsidP="00431652">
      <w:pPr>
        <w:spacing w:after="0" w:line="240" w:lineRule="auto"/>
      </w:pPr>
      <w:r>
        <w:separator/>
      </w:r>
    </w:p>
  </w:footnote>
  <w:footnote w:type="continuationSeparator" w:id="0">
    <w:p w14:paraId="7E228452" w14:textId="77777777" w:rsidR="00344FE0" w:rsidRDefault="00344FE0" w:rsidP="0043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9F57" w14:textId="62A05756" w:rsidR="0066536B" w:rsidRDefault="0066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455" w14:textId="3C435E13" w:rsidR="00151FD1" w:rsidRDefault="00151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378D" w14:textId="43139DFA" w:rsidR="0066536B" w:rsidRDefault="006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29EC"/>
    <w:multiLevelType w:val="hybridMultilevel"/>
    <w:tmpl w:val="4FD2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C7BE7"/>
    <w:multiLevelType w:val="hybridMultilevel"/>
    <w:tmpl w:val="35B4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2143E"/>
    <w:multiLevelType w:val="hybridMultilevel"/>
    <w:tmpl w:val="6C44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05259"/>
    <w:multiLevelType w:val="hybridMultilevel"/>
    <w:tmpl w:val="DB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9069F"/>
    <w:multiLevelType w:val="hybridMultilevel"/>
    <w:tmpl w:val="6F0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A279C"/>
    <w:multiLevelType w:val="hybridMultilevel"/>
    <w:tmpl w:val="847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C0D0E"/>
    <w:multiLevelType w:val="hybridMultilevel"/>
    <w:tmpl w:val="2A7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740AC"/>
    <w:multiLevelType w:val="hybridMultilevel"/>
    <w:tmpl w:val="A65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101FB"/>
    <w:multiLevelType w:val="hybridMultilevel"/>
    <w:tmpl w:val="3C0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B03B4"/>
    <w:multiLevelType w:val="hybridMultilevel"/>
    <w:tmpl w:val="7AD4A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9"/>
  </w:num>
  <w:num w:numId="6">
    <w:abstractNumId w:val="7"/>
  </w:num>
  <w:num w:numId="7">
    <w:abstractNumId w:val="6"/>
  </w:num>
  <w:num w:numId="8">
    <w:abstractNumId w:val="0"/>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31"/>
    <w:rsid w:val="00004148"/>
    <w:rsid w:val="00014A7C"/>
    <w:rsid w:val="00037948"/>
    <w:rsid w:val="000B13C9"/>
    <w:rsid w:val="000B6A27"/>
    <w:rsid w:val="000C0436"/>
    <w:rsid w:val="000D7585"/>
    <w:rsid w:val="000E400D"/>
    <w:rsid w:val="000E6E4A"/>
    <w:rsid w:val="000F5EEE"/>
    <w:rsid w:val="000F6922"/>
    <w:rsid w:val="0010447A"/>
    <w:rsid w:val="00104E85"/>
    <w:rsid w:val="001256D2"/>
    <w:rsid w:val="00140A8B"/>
    <w:rsid w:val="00151FD1"/>
    <w:rsid w:val="00156A4F"/>
    <w:rsid w:val="00185E35"/>
    <w:rsid w:val="00186EA1"/>
    <w:rsid w:val="001A012C"/>
    <w:rsid w:val="001A1111"/>
    <w:rsid w:val="001B0984"/>
    <w:rsid w:val="001C1FFE"/>
    <w:rsid w:val="001C2B46"/>
    <w:rsid w:val="001D2B35"/>
    <w:rsid w:val="001E7417"/>
    <w:rsid w:val="001F6995"/>
    <w:rsid w:val="00203A6D"/>
    <w:rsid w:val="00214933"/>
    <w:rsid w:val="00224C6B"/>
    <w:rsid w:val="00231850"/>
    <w:rsid w:val="00245892"/>
    <w:rsid w:val="00261C89"/>
    <w:rsid w:val="00265F69"/>
    <w:rsid w:val="002800AA"/>
    <w:rsid w:val="002B3204"/>
    <w:rsid w:val="002C6560"/>
    <w:rsid w:val="002F01E2"/>
    <w:rsid w:val="002F08E6"/>
    <w:rsid w:val="002F56C4"/>
    <w:rsid w:val="003061C6"/>
    <w:rsid w:val="00311BB2"/>
    <w:rsid w:val="00344FE0"/>
    <w:rsid w:val="0034645E"/>
    <w:rsid w:val="003721E7"/>
    <w:rsid w:val="00382AF9"/>
    <w:rsid w:val="003A5F90"/>
    <w:rsid w:val="003B1B7B"/>
    <w:rsid w:val="003B78CA"/>
    <w:rsid w:val="003B7F8A"/>
    <w:rsid w:val="003D4485"/>
    <w:rsid w:val="003E5467"/>
    <w:rsid w:val="003E6612"/>
    <w:rsid w:val="003E7E9D"/>
    <w:rsid w:val="003F502C"/>
    <w:rsid w:val="00405E9E"/>
    <w:rsid w:val="0041371C"/>
    <w:rsid w:val="00431652"/>
    <w:rsid w:val="004548E3"/>
    <w:rsid w:val="004622B7"/>
    <w:rsid w:val="0049655B"/>
    <w:rsid w:val="004A4DE9"/>
    <w:rsid w:val="004A774C"/>
    <w:rsid w:val="004C7FC8"/>
    <w:rsid w:val="004F28A3"/>
    <w:rsid w:val="00500028"/>
    <w:rsid w:val="00501CFF"/>
    <w:rsid w:val="005178A1"/>
    <w:rsid w:val="005332C0"/>
    <w:rsid w:val="00553D07"/>
    <w:rsid w:val="005A0936"/>
    <w:rsid w:val="005B5359"/>
    <w:rsid w:val="005C7FB6"/>
    <w:rsid w:val="005E4309"/>
    <w:rsid w:val="00600357"/>
    <w:rsid w:val="00600800"/>
    <w:rsid w:val="00607953"/>
    <w:rsid w:val="0061327C"/>
    <w:rsid w:val="00625E95"/>
    <w:rsid w:val="00631FE9"/>
    <w:rsid w:val="006343D6"/>
    <w:rsid w:val="0066536B"/>
    <w:rsid w:val="00681B4E"/>
    <w:rsid w:val="006824BD"/>
    <w:rsid w:val="00692B7B"/>
    <w:rsid w:val="00694DB1"/>
    <w:rsid w:val="006B14CB"/>
    <w:rsid w:val="006B25C0"/>
    <w:rsid w:val="00707BF3"/>
    <w:rsid w:val="00724165"/>
    <w:rsid w:val="00730533"/>
    <w:rsid w:val="00736BAA"/>
    <w:rsid w:val="00754ABE"/>
    <w:rsid w:val="00781932"/>
    <w:rsid w:val="007A110C"/>
    <w:rsid w:val="007B2B75"/>
    <w:rsid w:val="007C298F"/>
    <w:rsid w:val="007E763B"/>
    <w:rsid w:val="00805EE3"/>
    <w:rsid w:val="00810750"/>
    <w:rsid w:val="00826A45"/>
    <w:rsid w:val="00834FDF"/>
    <w:rsid w:val="008436DF"/>
    <w:rsid w:val="0086270C"/>
    <w:rsid w:val="00862E91"/>
    <w:rsid w:val="008658AC"/>
    <w:rsid w:val="0086687F"/>
    <w:rsid w:val="008840AE"/>
    <w:rsid w:val="008A1E0B"/>
    <w:rsid w:val="008A6990"/>
    <w:rsid w:val="008A7CAC"/>
    <w:rsid w:val="008B0F72"/>
    <w:rsid w:val="008B30C4"/>
    <w:rsid w:val="008B4FA2"/>
    <w:rsid w:val="008C16BC"/>
    <w:rsid w:val="008C4724"/>
    <w:rsid w:val="008E0FEF"/>
    <w:rsid w:val="008F584F"/>
    <w:rsid w:val="00911914"/>
    <w:rsid w:val="00926401"/>
    <w:rsid w:val="00970D83"/>
    <w:rsid w:val="00972392"/>
    <w:rsid w:val="0098034E"/>
    <w:rsid w:val="009A18EC"/>
    <w:rsid w:val="009B341A"/>
    <w:rsid w:val="009C5134"/>
    <w:rsid w:val="009C537E"/>
    <w:rsid w:val="009E689C"/>
    <w:rsid w:val="009F06CC"/>
    <w:rsid w:val="009F44C3"/>
    <w:rsid w:val="00A01DFB"/>
    <w:rsid w:val="00A111D5"/>
    <w:rsid w:val="00A1320E"/>
    <w:rsid w:val="00A21829"/>
    <w:rsid w:val="00A232E6"/>
    <w:rsid w:val="00A24F9D"/>
    <w:rsid w:val="00A32CBA"/>
    <w:rsid w:val="00A332B9"/>
    <w:rsid w:val="00A45B1F"/>
    <w:rsid w:val="00A551B0"/>
    <w:rsid w:val="00A83C74"/>
    <w:rsid w:val="00A9249F"/>
    <w:rsid w:val="00A9355E"/>
    <w:rsid w:val="00AB2BBC"/>
    <w:rsid w:val="00AC09C6"/>
    <w:rsid w:val="00AC6771"/>
    <w:rsid w:val="00B54D67"/>
    <w:rsid w:val="00B76C29"/>
    <w:rsid w:val="00B80F9D"/>
    <w:rsid w:val="00B853B7"/>
    <w:rsid w:val="00B8720A"/>
    <w:rsid w:val="00BA6098"/>
    <w:rsid w:val="00BB1580"/>
    <w:rsid w:val="00BB2DEE"/>
    <w:rsid w:val="00C04353"/>
    <w:rsid w:val="00C15BE8"/>
    <w:rsid w:val="00C17567"/>
    <w:rsid w:val="00C27DA5"/>
    <w:rsid w:val="00C37A91"/>
    <w:rsid w:val="00C7094C"/>
    <w:rsid w:val="00C910BD"/>
    <w:rsid w:val="00C92E6A"/>
    <w:rsid w:val="00CB7A22"/>
    <w:rsid w:val="00CC3473"/>
    <w:rsid w:val="00CE1465"/>
    <w:rsid w:val="00CF1F34"/>
    <w:rsid w:val="00CF4C23"/>
    <w:rsid w:val="00D4079D"/>
    <w:rsid w:val="00D47E91"/>
    <w:rsid w:val="00D530B9"/>
    <w:rsid w:val="00D55984"/>
    <w:rsid w:val="00D55E3B"/>
    <w:rsid w:val="00D634B5"/>
    <w:rsid w:val="00D63A30"/>
    <w:rsid w:val="00D6623E"/>
    <w:rsid w:val="00D762AA"/>
    <w:rsid w:val="00D801FA"/>
    <w:rsid w:val="00D916BB"/>
    <w:rsid w:val="00DA1669"/>
    <w:rsid w:val="00DC1094"/>
    <w:rsid w:val="00DE09BD"/>
    <w:rsid w:val="00DE25EB"/>
    <w:rsid w:val="00DE32A5"/>
    <w:rsid w:val="00E01F5D"/>
    <w:rsid w:val="00E20518"/>
    <w:rsid w:val="00E434FB"/>
    <w:rsid w:val="00E479D5"/>
    <w:rsid w:val="00E57264"/>
    <w:rsid w:val="00E57A64"/>
    <w:rsid w:val="00E669E0"/>
    <w:rsid w:val="00E8439C"/>
    <w:rsid w:val="00E85E28"/>
    <w:rsid w:val="00E902B4"/>
    <w:rsid w:val="00E91C64"/>
    <w:rsid w:val="00E95B8A"/>
    <w:rsid w:val="00EA791A"/>
    <w:rsid w:val="00EC4F9C"/>
    <w:rsid w:val="00EE5634"/>
    <w:rsid w:val="00EF1814"/>
    <w:rsid w:val="00F167DA"/>
    <w:rsid w:val="00F21134"/>
    <w:rsid w:val="00F33431"/>
    <w:rsid w:val="00F40C75"/>
    <w:rsid w:val="00F618B4"/>
    <w:rsid w:val="00F761B2"/>
    <w:rsid w:val="00F76EF3"/>
    <w:rsid w:val="00F8193D"/>
    <w:rsid w:val="00F8470F"/>
    <w:rsid w:val="00F94A32"/>
    <w:rsid w:val="00F95534"/>
    <w:rsid w:val="00FA4F46"/>
    <w:rsid w:val="00FB3B11"/>
    <w:rsid w:val="00FB5457"/>
    <w:rsid w:val="00FC0773"/>
    <w:rsid w:val="00FC38B6"/>
    <w:rsid w:val="00FC4D21"/>
    <w:rsid w:val="00FC6C86"/>
    <w:rsid w:val="00FF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282F6"/>
  <w15:docId w15:val="{1EE93CEE-1637-4705-86BB-7C1E9A6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8"/>
  </w:style>
  <w:style w:type="paragraph" w:styleId="Heading1">
    <w:name w:val="heading 1"/>
    <w:basedOn w:val="Normal"/>
    <w:next w:val="Normal"/>
    <w:link w:val="Heading1Char"/>
    <w:uiPriority w:val="9"/>
    <w:qFormat/>
    <w:rsid w:val="00500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A791A"/>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EA791A"/>
    <w:rPr>
      <w:rFonts w:ascii="Arial" w:eastAsia="Times New Roman" w:hAnsi="Arial" w:cs="Arial"/>
      <w:sz w:val="24"/>
      <w:szCs w:val="24"/>
    </w:rPr>
  </w:style>
  <w:style w:type="paragraph" w:styleId="ListParagraph">
    <w:name w:val="List Paragraph"/>
    <w:basedOn w:val="Normal"/>
    <w:uiPriority w:val="34"/>
    <w:qFormat/>
    <w:rsid w:val="00500028"/>
    <w:pPr>
      <w:ind w:left="720"/>
      <w:contextualSpacing/>
    </w:pPr>
  </w:style>
  <w:style w:type="character" w:customStyle="1" w:styleId="Heading1Char">
    <w:name w:val="Heading 1 Char"/>
    <w:basedOn w:val="DefaultParagraphFont"/>
    <w:link w:val="Heading1"/>
    <w:uiPriority w:val="9"/>
    <w:rsid w:val="00500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028"/>
    <w:rPr>
      <w:rFonts w:asciiTheme="majorHAnsi" w:eastAsiaTheme="majorEastAsia" w:hAnsiTheme="majorHAnsi" w:cstheme="majorBidi"/>
      <w:i/>
      <w:iCs/>
      <w:spacing w:val="13"/>
      <w:sz w:val="24"/>
      <w:szCs w:val="24"/>
    </w:rPr>
  </w:style>
  <w:style w:type="character" w:styleId="Strong">
    <w:name w:val="Strong"/>
    <w:uiPriority w:val="22"/>
    <w:qFormat/>
    <w:rsid w:val="00500028"/>
    <w:rPr>
      <w:b/>
      <w:bCs/>
    </w:rPr>
  </w:style>
  <w:style w:type="character" w:styleId="Emphasis">
    <w:name w:val="Emphasis"/>
    <w:uiPriority w:val="20"/>
    <w:qFormat/>
    <w:rsid w:val="00500028"/>
    <w:rPr>
      <w:b/>
      <w:bCs/>
      <w:i/>
      <w:iCs/>
      <w:spacing w:val="10"/>
      <w:bdr w:val="none" w:sz="0" w:space="0" w:color="auto"/>
      <w:shd w:val="clear" w:color="auto" w:fill="auto"/>
    </w:rPr>
  </w:style>
  <w:style w:type="paragraph" w:styleId="NoSpacing">
    <w:name w:val="No Spacing"/>
    <w:basedOn w:val="Normal"/>
    <w:uiPriority w:val="1"/>
    <w:qFormat/>
    <w:rsid w:val="00500028"/>
    <w:pPr>
      <w:spacing w:after="0" w:line="240" w:lineRule="auto"/>
    </w:pPr>
  </w:style>
  <w:style w:type="paragraph" w:styleId="Quote">
    <w:name w:val="Quote"/>
    <w:basedOn w:val="Normal"/>
    <w:next w:val="Normal"/>
    <w:link w:val="QuoteChar"/>
    <w:uiPriority w:val="29"/>
    <w:qFormat/>
    <w:rsid w:val="00500028"/>
    <w:pPr>
      <w:spacing w:before="200" w:after="0"/>
      <w:ind w:left="360" w:right="360"/>
    </w:pPr>
    <w:rPr>
      <w:i/>
      <w:iCs/>
    </w:rPr>
  </w:style>
  <w:style w:type="character" w:customStyle="1" w:styleId="QuoteChar">
    <w:name w:val="Quote Char"/>
    <w:basedOn w:val="DefaultParagraphFont"/>
    <w:link w:val="Quote"/>
    <w:uiPriority w:val="29"/>
    <w:rsid w:val="00500028"/>
    <w:rPr>
      <w:i/>
      <w:iCs/>
    </w:rPr>
  </w:style>
  <w:style w:type="paragraph" w:styleId="IntenseQuote">
    <w:name w:val="Intense Quote"/>
    <w:basedOn w:val="Normal"/>
    <w:next w:val="Normal"/>
    <w:link w:val="IntenseQuoteChar"/>
    <w:uiPriority w:val="30"/>
    <w:qFormat/>
    <w:rsid w:val="00500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28"/>
    <w:rPr>
      <w:b/>
      <w:bCs/>
      <w:i/>
      <w:iCs/>
    </w:rPr>
  </w:style>
  <w:style w:type="character" w:styleId="SubtleEmphasis">
    <w:name w:val="Subtle Emphasis"/>
    <w:uiPriority w:val="19"/>
    <w:qFormat/>
    <w:rsid w:val="00500028"/>
    <w:rPr>
      <w:i/>
      <w:iCs/>
    </w:rPr>
  </w:style>
  <w:style w:type="character" w:styleId="IntenseEmphasis">
    <w:name w:val="Intense Emphasis"/>
    <w:uiPriority w:val="21"/>
    <w:qFormat/>
    <w:rsid w:val="00500028"/>
    <w:rPr>
      <w:b/>
      <w:bCs/>
    </w:rPr>
  </w:style>
  <w:style w:type="character" w:styleId="SubtleReference">
    <w:name w:val="Subtle Reference"/>
    <w:uiPriority w:val="31"/>
    <w:qFormat/>
    <w:rsid w:val="00500028"/>
    <w:rPr>
      <w:smallCaps/>
    </w:rPr>
  </w:style>
  <w:style w:type="character" w:styleId="IntenseReference">
    <w:name w:val="Intense Reference"/>
    <w:uiPriority w:val="32"/>
    <w:qFormat/>
    <w:rsid w:val="00500028"/>
    <w:rPr>
      <w:smallCaps/>
      <w:spacing w:val="5"/>
      <w:u w:val="single"/>
    </w:rPr>
  </w:style>
  <w:style w:type="character" w:styleId="BookTitle">
    <w:name w:val="Book Title"/>
    <w:uiPriority w:val="33"/>
    <w:qFormat/>
    <w:rsid w:val="00500028"/>
    <w:rPr>
      <w:i/>
      <w:iCs/>
      <w:smallCaps/>
      <w:spacing w:val="5"/>
    </w:rPr>
  </w:style>
  <w:style w:type="paragraph" w:styleId="TOCHeading">
    <w:name w:val="TOC Heading"/>
    <w:basedOn w:val="Heading1"/>
    <w:next w:val="Normal"/>
    <w:uiPriority w:val="39"/>
    <w:semiHidden/>
    <w:unhideWhenUsed/>
    <w:qFormat/>
    <w:rsid w:val="00500028"/>
    <w:pPr>
      <w:outlineLvl w:val="9"/>
    </w:pPr>
    <w:rPr>
      <w:lang w:bidi="en-US"/>
    </w:rPr>
  </w:style>
  <w:style w:type="character" w:styleId="CommentReference">
    <w:name w:val="annotation reference"/>
    <w:basedOn w:val="DefaultParagraphFont"/>
    <w:uiPriority w:val="99"/>
    <w:semiHidden/>
    <w:unhideWhenUsed/>
    <w:rsid w:val="004622B7"/>
    <w:rPr>
      <w:sz w:val="16"/>
      <w:szCs w:val="16"/>
    </w:rPr>
  </w:style>
  <w:style w:type="paragraph" w:styleId="CommentText">
    <w:name w:val="annotation text"/>
    <w:basedOn w:val="Normal"/>
    <w:link w:val="CommentTextChar"/>
    <w:uiPriority w:val="99"/>
    <w:semiHidden/>
    <w:unhideWhenUsed/>
    <w:rsid w:val="004622B7"/>
    <w:pPr>
      <w:spacing w:line="240" w:lineRule="auto"/>
    </w:pPr>
    <w:rPr>
      <w:sz w:val="20"/>
      <w:szCs w:val="20"/>
    </w:rPr>
  </w:style>
  <w:style w:type="character" w:customStyle="1" w:styleId="CommentTextChar">
    <w:name w:val="Comment Text Char"/>
    <w:basedOn w:val="DefaultParagraphFont"/>
    <w:link w:val="CommentText"/>
    <w:uiPriority w:val="99"/>
    <w:semiHidden/>
    <w:rsid w:val="004622B7"/>
    <w:rPr>
      <w:sz w:val="20"/>
      <w:szCs w:val="20"/>
    </w:rPr>
  </w:style>
  <w:style w:type="paragraph" w:styleId="CommentSubject">
    <w:name w:val="annotation subject"/>
    <w:basedOn w:val="CommentText"/>
    <w:next w:val="CommentText"/>
    <w:link w:val="CommentSubjectChar"/>
    <w:uiPriority w:val="99"/>
    <w:semiHidden/>
    <w:unhideWhenUsed/>
    <w:rsid w:val="004622B7"/>
    <w:rPr>
      <w:b/>
      <w:bCs/>
    </w:rPr>
  </w:style>
  <w:style w:type="character" w:customStyle="1" w:styleId="CommentSubjectChar">
    <w:name w:val="Comment Subject Char"/>
    <w:basedOn w:val="CommentTextChar"/>
    <w:link w:val="CommentSubject"/>
    <w:uiPriority w:val="99"/>
    <w:semiHidden/>
    <w:rsid w:val="004622B7"/>
    <w:rPr>
      <w:b/>
      <w:bCs/>
      <w:sz w:val="20"/>
      <w:szCs w:val="20"/>
    </w:rPr>
  </w:style>
  <w:style w:type="paragraph" w:styleId="BalloonText">
    <w:name w:val="Balloon Text"/>
    <w:basedOn w:val="Normal"/>
    <w:link w:val="BalloonTextChar"/>
    <w:uiPriority w:val="99"/>
    <w:semiHidden/>
    <w:unhideWhenUsed/>
    <w:rsid w:val="0046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B7"/>
    <w:rPr>
      <w:rFonts w:ascii="Tahoma" w:hAnsi="Tahoma" w:cs="Tahoma"/>
      <w:sz w:val="16"/>
      <w:szCs w:val="16"/>
    </w:rPr>
  </w:style>
  <w:style w:type="table" w:styleId="TableGrid">
    <w:name w:val="Table Grid"/>
    <w:basedOn w:val="TableNormal"/>
    <w:uiPriority w:val="59"/>
    <w:rsid w:val="0000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5EB"/>
    <w:rPr>
      <w:color w:val="0000FF" w:themeColor="hyperlink"/>
      <w:u w:val="single"/>
    </w:rPr>
  </w:style>
  <w:style w:type="paragraph" w:styleId="Header">
    <w:name w:val="header"/>
    <w:basedOn w:val="Normal"/>
    <w:link w:val="HeaderChar"/>
    <w:uiPriority w:val="99"/>
    <w:unhideWhenUsed/>
    <w:rsid w:val="0043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52"/>
  </w:style>
  <w:style w:type="paragraph" w:styleId="Footer">
    <w:name w:val="footer"/>
    <w:basedOn w:val="Normal"/>
    <w:link w:val="FooterChar"/>
    <w:uiPriority w:val="99"/>
    <w:unhideWhenUsed/>
    <w:rsid w:val="0043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52"/>
  </w:style>
  <w:style w:type="character" w:styleId="FollowedHyperlink">
    <w:name w:val="FollowedHyperlink"/>
    <w:basedOn w:val="DefaultParagraphFont"/>
    <w:uiPriority w:val="99"/>
    <w:semiHidden/>
    <w:unhideWhenUsed/>
    <w:rsid w:val="009A1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sab.org.uk/documents/guidance-on-raising-concerns-about-abuse-and-negle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sexsafeguardingadults.procedur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9E1FAE656C042A7C4C66D4F5D1B3D" ma:contentTypeVersion="2" ma:contentTypeDescription="Create a new document." ma:contentTypeScope="" ma:versionID="ca89cab00b38fab77166e6fb6f972b0d">
  <xsd:schema xmlns:xsd="http://www.w3.org/2001/XMLSchema" xmlns:xs="http://www.w3.org/2001/XMLSchema" xmlns:p="http://schemas.microsoft.com/office/2006/metadata/properties" targetNamespace="http://schemas.microsoft.com/office/2006/metadata/properties" ma:root="true" ma:fieldsID="548dd83996f584a47e1015c85ea304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411D-4EDC-4FEC-8043-36B44B5986A6}">
  <ds:schemaRefs>
    <ds:schemaRef ds:uri="http://schemas.microsoft.com/sharepoint/v3/contenttype/forms"/>
  </ds:schemaRefs>
</ds:datastoreItem>
</file>

<file path=customXml/itemProps2.xml><?xml version="1.0" encoding="utf-8"?>
<ds:datastoreItem xmlns:ds="http://schemas.openxmlformats.org/officeDocument/2006/customXml" ds:itemID="{7EA826C6-4CB0-4D6B-A31F-5E885682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F67120-6F72-4020-B316-EF5731B9F71B}">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D0227A6-20DF-43B9-B86E-6D401515F12C}">
  <ds:schemaRefs>
    <ds:schemaRef ds:uri="Microsoft.SharePoint.Taxonomy.ContentTypeSync"/>
  </ds:schemaRefs>
</ds:datastoreItem>
</file>

<file path=customXml/itemProps5.xml><?xml version="1.0" encoding="utf-8"?>
<ds:datastoreItem xmlns:ds="http://schemas.openxmlformats.org/officeDocument/2006/customXml" ds:itemID="{5D8FE11C-0F36-445F-ACA7-CEF843BE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Delyth Shaw;Carol Redford</dc:creator>
  <cp:lastModifiedBy>Delyth Shaw</cp:lastModifiedBy>
  <cp:revision>2</cp:revision>
  <cp:lastPrinted>2018-11-02T11:45:00Z</cp:lastPrinted>
  <dcterms:created xsi:type="dcterms:W3CDTF">2020-11-23T12:35:00Z</dcterms:created>
  <dcterms:modified xsi:type="dcterms:W3CDTF">2020-11-23T12:35:00Z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0x0101004EE9E1FAE656C042A7C4C66D4F5D1B3D</vt:lpwstr>
  </property>
  <property fmtid="{D5CDD505-2E9C-101B-9397-08002B2CF9AE}" pid="3" name="IsMyDocuments">
    <vt:bool>true</vt:bool>
  </property>
</Properties>
</file>