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40D1" w14:textId="77777777" w:rsidR="00595716" w:rsidRDefault="00595716" w:rsidP="00595716">
      <w:pPr>
        <w:jc w:val="center"/>
        <w:rPr>
          <w:rFonts w:ascii="Arial" w:hAnsi="Arial" w:cs="Arial"/>
          <w:b/>
          <w:sz w:val="10"/>
          <w:szCs w:val="10"/>
        </w:rPr>
      </w:pPr>
      <w:bookmarkStart w:id="0" w:name="_MailOriginal"/>
    </w:p>
    <w:p w14:paraId="4F7D99B2" w14:textId="77777777" w:rsidR="00595716" w:rsidRPr="00595716" w:rsidRDefault="00595716" w:rsidP="00595716">
      <w:pPr>
        <w:jc w:val="center"/>
        <w:rPr>
          <w:rFonts w:ascii="Arial" w:hAnsi="Arial" w:cs="Arial"/>
          <w:b/>
          <w:sz w:val="10"/>
          <w:szCs w:val="10"/>
        </w:rPr>
      </w:pPr>
    </w:p>
    <w:p w14:paraId="207E209A" w14:textId="77777777" w:rsidR="004B0B9F" w:rsidRDefault="004E5643" w:rsidP="00595716">
      <w:pPr>
        <w:jc w:val="center"/>
        <w:rPr>
          <w:rFonts w:ascii="Arial" w:hAnsi="Arial" w:cs="Arial"/>
          <w:b/>
          <w:sz w:val="36"/>
          <w:szCs w:val="36"/>
        </w:rPr>
      </w:pPr>
      <w:r>
        <w:rPr>
          <w:rFonts w:ascii="Arial" w:hAnsi="Arial" w:cs="Arial"/>
          <w:b/>
          <w:sz w:val="36"/>
          <w:szCs w:val="36"/>
        </w:rPr>
        <w:t>Adult B</w:t>
      </w:r>
      <w:r w:rsidR="00595716">
        <w:rPr>
          <w:rFonts w:ascii="Arial" w:hAnsi="Arial" w:cs="Arial"/>
          <w:b/>
          <w:sz w:val="36"/>
          <w:szCs w:val="36"/>
        </w:rPr>
        <w:t xml:space="preserve"> Safeguarding Adult</w:t>
      </w:r>
      <w:r>
        <w:rPr>
          <w:rFonts w:ascii="Arial" w:hAnsi="Arial" w:cs="Arial"/>
          <w:b/>
          <w:sz w:val="36"/>
          <w:szCs w:val="36"/>
        </w:rPr>
        <w:t>s</w:t>
      </w:r>
      <w:r w:rsidR="00595716">
        <w:rPr>
          <w:rFonts w:ascii="Arial" w:hAnsi="Arial" w:cs="Arial"/>
          <w:b/>
          <w:sz w:val="36"/>
          <w:szCs w:val="36"/>
        </w:rPr>
        <w:t xml:space="preserve"> Review</w:t>
      </w:r>
      <w:r w:rsidR="00595716" w:rsidRPr="009B71EF">
        <w:rPr>
          <w:rFonts w:ascii="Arial" w:hAnsi="Arial" w:cs="Arial"/>
          <w:b/>
          <w:sz w:val="36"/>
          <w:szCs w:val="36"/>
        </w:rPr>
        <w:t xml:space="preserve"> Action Plan for Overview Report</w:t>
      </w:r>
    </w:p>
    <w:p w14:paraId="21B56CBE" w14:textId="77777777" w:rsidR="00595716" w:rsidRDefault="00595716" w:rsidP="00595716">
      <w:pPr>
        <w:jc w:val="center"/>
        <w:rPr>
          <w:rFonts w:ascii="Arial" w:hAnsi="Arial" w:cs="Arial"/>
          <w:b/>
          <w:sz w:val="10"/>
          <w:szCs w:val="10"/>
        </w:rPr>
      </w:pPr>
    </w:p>
    <w:p w14:paraId="481982B9" w14:textId="77777777" w:rsidR="00595716" w:rsidRPr="00595716" w:rsidRDefault="00595716" w:rsidP="00595716">
      <w:pPr>
        <w:jc w:val="center"/>
        <w:rPr>
          <w:rFonts w:ascii="Arial" w:hAnsi="Arial" w:cs="Arial"/>
          <w:b/>
          <w:sz w:val="10"/>
          <w:szCs w:val="10"/>
        </w:rPr>
      </w:pPr>
    </w:p>
    <w:tbl>
      <w:tblPr>
        <w:tblStyle w:val="TableGrid"/>
        <w:tblW w:w="15168" w:type="dxa"/>
        <w:tblInd w:w="-318" w:type="dxa"/>
        <w:tblLayout w:type="fixed"/>
        <w:tblLook w:val="04A0" w:firstRow="1" w:lastRow="0" w:firstColumn="1" w:lastColumn="0" w:noHBand="0" w:noVBand="1"/>
      </w:tblPr>
      <w:tblGrid>
        <w:gridCol w:w="4395"/>
        <w:gridCol w:w="4140"/>
        <w:gridCol w:w="1389"/>
        <w:gridCol w:w="1559"/>
        <w:gridCol w:w="2693"/>
        <w:gridCol w:w="992"/>
      </w:tblGrid>
      <w:tr w:rsidR="000765AC" w:rsidRPr="009B71EF" w14:paraId="66F558E6" w14:textId="77777777" w:rsidTr="005E52B4">
        <w:tc>
          <w:tcPr>
            <w:tcW w:w="4395" w:type="dxa"/>
            <w:tcBorders>
              <w:top w:val="nil"/>
            </w:tcBorders>
            <w:shd w:val="clear" w:color="auto" w:fill="943634" w:themeFill="accent2" w:themeFillShade="BF"/>
          </w:tcPr>
          <w:p w14:paraId="15B8DAE9" w14:textId="77777777" w:rsidR="000765AC" w:rsidRPr="00CD162C" w:rsidRDefault="000765AC" w:rsidP="00B641A3">
            <w:pPr>
              <w:rPr>
                <w:rFonts w:ascii="Arial" w:hAnsi="Arial" w:cs="Arial"/>
                <w:b/>
                <w:color w:val="FFFFFF" w:themeColor="background1"/>
                <w:sz w:val="22"/>
                <w:szCs w:val="22"/>
              </w:rPr>
            </w:pPr>
            <w:r w:rsidRPr="00CD162C">
              <w:rPr>
                <w:rFonts w:ascii="Arial" w:hAnsi="Arial" w:cs="Arial"/>
                <w:b/>
                <w:color w:val="FFFFFF" w:themeColor="background1"/>
                <w:sz w:val="22"/>
                <w:szCs w:val="22"/>
              </w:rPr>
              <w:t>Recommendation and scope</w:t>
            </w:r>
          </w:p>
        </w:tc>
        <w:tc>
          <w:tcPr>
            <w:tcW w:w="4140" w:type="dxa"/>
            <w:tcBorders>
              <w:top w:val="nil"/>
            </w:tcBorders>
            <w:shd w:val="clear" w:color="auto" w:fill="943634" w:themeFill="accent2" w:themeFillShade="BF"/>
          </w:tcPr>
          <w:p w14:paraId="6FB2DF1A" w14:textId="77777777" w:rsidR="000765AC" w:rsidRPr="009B71EF" w:rsidRDefault="000765AC" w:rsidP="00B054D1">
            <w:pPr>
              <w:rPr>
                <w:rFonts w:ascii="Arial" w:hAnsi="Arial" w:cs="Arial"/>
                <w:b/>
                <w:color w:val="FFFFFF" w:themeColor="background1"/>
                <w:sz w:val="22"/>
                <w:szCs w:val="22"/>
              </w:rPr>
            </w:pPr>
            <w:r w:rsidRPr="009B71EF">
              <w:rPr>
                <w:rFonts w:ascii="Arial" w:hAnsi="Arial" w:cs="Arial"/>
                <w:b/>
                <w:color w:val="FFFFFF" w:themeColor="background1"/>
                <w:sz w:val="22"/>
                <w:szCs w:val="22"/>
              </w:rPr>
              <w:t>Action</w:t>
            </w:r>
            <w:r>
              <w:rPr>
                <w:rFonts w:ascii="Arial" w:hAnsi="Arial" w:cs="Arial"/>
                <w:b/>
                <w:color w:val="FFFFFF" w:themeColor="background1"/>
                <w:sz w:val="22"/>
                <w:szCs w:val="22"/>
              </w:rPr>
              <w:t>(s)</w:t>
            </w:r>
          </w:p>
        </w:tc>
        <w:tc>
          <w:tcPr>
            <w:tcW w:w="1389" w:type="dxa"/>
            <w:tcBorders>
              <w:top w:val="nil"/>
            </w:tcBorders>
            <w:shd w:val="clear" w:color="auto" w:fill="943634" w:themeFill="accent2" w:themeFillShade="BF"/>
          </w:tcPr>
          <w:p w14:paraId="3C25ED12" w14:textId="77777777" w:rsidR="000765AC" w:rsidRPr="009B71EF" w:rsidRDefault="000765AC" w:rsidP="00B641A3">
            <w:pPr>
              <w:rPr>
                <w:rFonts w:ascii="Arial" w:hAnsi="Arial" w:cs="Arial"/>
                <w:b/>
                <w:color w:val="FFFFFF" w:themeColor="background1"/>
                <w:sz w:val="22"/>
                <w:szCs w:val="22"/>
              </w:rPr>
            </w:pPr>
            <w:r w:rsidRPr="009B71EF">
              <w:rPr>
                <w:rFonts w:ascii="Arial" w:hAnsi="Arial" w:cs="Arial"/>
                <w:b/>
                <w:color w:val="FFFFFF" w:themeColor="background1"/>
                <w:sz w:val="22"/>
                <w:szCs w:val="22"/>
              </w:rPr>
              <w:t>Target Date</w:t>
            </w:r>
          </w:p>
        </w:tc>
        <w:tc>
          <w:tcPr>
            <w:tcW w:w="1559" w:type="dxa"/>
            <w:tcBorders>
              <w:top w:val="nil"/>
            </w:tcBorders>
            <w:shd w:val="clear" w:color="auto" w:fill="943634" w:themeFill="accent2" w:themeFillShade="BF"/>
          </w:tcPr>
          <w:p w14:paraId="16049280" w14:textId="77777777" w:rsidR="000765AC" w:rsidRPr="009B71EF" w:rsidRDefault="000765AC" w:rsidP="00B641A3">
            <w:pPr>
              <w:rPr>
                <w:rFonts w:ascii="Arial" w:hAnsi="Arial" w:cs="Arial"/>
                <w:b/>
                <w:color w:val="FFFFFF" w:themeColor="background1"/>
                <w:sz w:val="22"/>
                <w:szCs w:val="22"/>
              </w:rPr>
            </w:pPr>
            <w:r>
              <w:rPr>
                <w:rFonts w:ascii="Arial" w:hAnsi="Arial" w:cs="Arial"/>
                <w:b/>
                <w:color w:val="FFFFFF" w:themeColor="background1"/>
                <w:sz w:val="22"/>
                <w:szCs w:val="22"/>
              </w:rPr>
              <w:t>Lead</w:t>
            </w:r>
          </w:p>
        </w:tc>
        <w:tc>
          <w:tcPr>
            <w:tcW w:w="2693" w:type="dxa"/>
            <w:tcBorders>
              <w:top w:val="nil"/>
            </w:tcBorders>
            <w:shd w:val="clear" w:color="auto" w:fill="943634" w:themeFill="accent2" w:themeFillShade="BF"/>
          </w:tcPr>
          <w:p w14:paraId="4874EC80" w14:textId="77777777" w:rsidR="000765AC" w:rsidRDefault="000765AC" w:rsidP="00B641A3">
            <w:pPr>
              <w:rPr>
                <w:rFonts w:ascii="Arial" w:hAnsi="Arial" w:cs="Arial"/>
                <w:b/>
                <w:color w:val="FFFFFF" w:themeColor="background1"/>
                <w:sz w:val="22"/>
                <w:szCs w:val="22"/>
              </w:rPr>
            </w:pPr>
            <w:r w:rsidRPr="009B71EF">
              <w:rPr>
                <w:rFonts w:ascii="Arial" w:hAnsi="Arial" w:cs="Arial"/>
                <w:b/>
                <w:color w:val="FFFFFF" w:themeColor="background1"/>
                <w:sz w:val="22"/>
                <w:szCs w:val="22"/>
              </w:rPr>
              <w:t>Progress/</w:t>
            </w:r>
          </w:p>
          <w:p w14:paraId="48A1C696" w14:textId="77777777" w:rsidR="000765AC" w:rsidRPr="009B71EF" w:rsidRDefault="000765AC" w:rsidP="00B641A3">
            <w:pPr>
              <w:rPr>
                <w:rFonts w:ascii="Arial" w:hAnsi="Arial" w:cs="Arial"/>
                <w:b/>
                <w:color w:val="FFFFFF" w:themeColor="background1"/>
                <w:sz w:val="22"/>
                <w:szCs w:val="22"/>
              </w:rPr>
            </w:pPr>
            <w:r w:rsidRPr="009B71EF">
              <w:rPr>
                <w:rFonts w:ascii="Arial" w:hAnsi="Arial" w:cs="Arial"/>
                <w:b/>
                <w:color w:val="FFFFFF" w:themeColor="background1"/>
                <w:sz w:val="22"/>
                <w:szCs w:val="22"/>
              </w:rPr>
              <w:t>next steps</w:t>
            </w:r>
          </w:p>
        </w:tc>
        <w:tc>
          <w:tcPr>
            <w:tcW w:w="992" w:type="dxa"/>
            <w:tcBorders>
              <w:top w:val="nil"/>
              <w:bottom w:val="single" w:sz="4" w:space="0" w:color="auto"/>
            </w:tcBorders>
            <w:shd w:val="clear" w:color="auto" w:fill="943634" w:themeFill="accent2" w:themeFillShade="BF"/>
          </w:tcPr>
          <w:p w14:paraId="014C4B67" w14:textId="77777777" w:rsidR="000765AC" w:rsidRPr="009B71EF" w:rsidRDefault="000765AC" w:rsidP="00B641A3">
            <w:pPr>
              <w:rPr>
                <w:rFonts w:ascii="Arial" w:hAnsi="Arial" w:cs="Arial"/>
                <w:b/>
                <w:color w:val="FFFFFF" w:themeColor="background1"/>
                <w:sz w:val="22"/>
                <w:szCs w:val="22"/>
              </w:rPr>
            </w:pPr>
            <w:r w:rsidRPr="009B71EF">
              <w:rPr>
                <w:rFonts w:ascii="Arial" w:hAnsi="Arial" w:cs="Arial"/>
                <w:b/>
                <w:color w:val="FFFFFF" w:themeColor="background1"/>
                <w:sz w:val="22"/>
                <w:szCs w:val="22"/>
              </w:rPr>
              <w:t>Status (RAG) Rating</w:t>
            </w:r>
          </w:p>
        </w:tc>
      </w:tr>
      <w:tr w:rsidR="007E3A09" w:rsidRPr="00201FAC" w14:paraId="070615CF" w14:textId="77777777" w:rsidTr="005E52B4">
        <w:trPr>
          <w:trHeight w:val="1899"/>
        </w:trPr>
        <w:tc>
          <w:tcPr>
            <w:tcW w:w="4395" w:type="dxa"/>
            <w:vMerge w:val="restart"/>
          </w:tcPr>
          <w:p w14:paraId="6D606F62" w14:textId="77777777" w:rsidR="007E3A09" w:rsidRPr="00411A10" w:rsidRDefault="007E3A09" w:rsidP="0035681E">
            <w:pPr>
              <w:pStyle w:val="ListParagraph"/>
              <w:ind w:left="0"/>
              <w:rPr>
                <w:rFonts w:ascii="Arial" w:hAnsi="Arial" w:cs="Arial"/>
                <w:b/>
                <w:color w:val="943634" w:themeColor="accent2" w:themeShade="BF"/>
                <w:sz w:val="22"/>
                <w:szCs w:val="22"/>
              </w:rPr>
            </w:pPr>
            <w:r w:rsidRPr="00411A10">
              <w:rPr>
                <w:rFonts w:ascii="Arial" w:hAnsi="Arial" w:cs="Arial"/>
                <w:b/>
                <w:color w:val="943634" w:themeColor="accent2" w:themeShade="BF"/>
                <w:sz w:val="22"/>
                <w:szCs w:val="22"/>
              </w:rPr>
              <w:t>Recommendation 1:</w:t>
            </w:r>
          </w:p>
          <w:p w14:paraId="279DE343" w14:textId="77777777" w:rsidR="007E3A09" w:rsidRDefault="007E3A09" w:rsidP="0035681E">
            <w:pPr>
              <w:jc w:val="both"/>
              <w:rPr>
                <w:rFonts w:ascii="Arial" w:hAnsi="Arial" w:cs="Arial"/>
                <w:b/>
                <w:bCs/>
                <w:color w:val="00B0F0"/>
                <w:sz w:val="22"/>
                <w:szCs w:val="22"/>
              </w:rPr>
            </w:pPr>
          </w:p>
          <w:p w14:paraId="6F24411A" w14:textId="77777777" w:rsidR="007E3A09" w:rsidRDefault="007E3A09" w:rsidP="00586390">
            <w:pPr>
              <w:pStyle w:val="ListParagraph"/>
              <w:ind w:left="0"/>
              <w:rPr>
                <w:rFonts w:ascii="Arial" w:hAnsi="Arial" w:cs="Arial"/>
                <w:b/>
                <w:color w:val="943634" w:themeColor="accent2" w:themeShade="BF"/>
                <w:sz w:val="22"/>
                <w:szCs w:val="22"/>
              </w:rPr>
            </w:pPr>
            <w:r w:rsidRPr="007C57B5">
              <w:rPr>
                <w:rFonts w:ascii="Arial" w:hAnsi="Arial" w:cs="Arial"/>
                <w:bCs/>
                <w:sz w:val="22"/>
                <w:szCs w:val="22"/>
              </w:rPr>
              <w:t>All agencies to reassure the SAB that their practice, when working directly with service users, enables their practitioners the opportunity for direct personal contact, separate from family members, regardless of where they are providing the service.</w:t>
            </w:r>
          </w:p>
        </w:tc>
        <w:tc>
          <w:tcPr>
            <w:tcW w:w="4140" w:type="dxa"/>
          </w:tcPr>
          <w:p w14:paraId="5CE27263" w14:textId="77777777" w:rsidR="007E3A09" w:rsidRDefault="007E3A09" w:rsidP="0035681E">
            <w:pPr>
              <w:rPr>
                <w:rFonts w:ascii="Arial" w:hAnsi="Arial" w:cs="Arial"/>
                <w:bCs/>
                <w:sz w:val="22"/>
                <w:szCs w:val="22"/>
              </w:rPr>
            </w:pPr>
            <w:r>
              <w:rPr>
                <w:rFonts w:ascii="Arial" w:hAnsi="Arial" w:cs="Arial"/>
                <w:bCs/>
                <w:sz w:val="22"/>
                <w:szCs w:val="22"/>
              </w:rPr>
              <w:t xml:space="preserve">Safeguarding leads to report on internal policy, </w:t>
            </w:r>
            <w:proofErr w:type="gramStart"/>
            <w:r>
              <w:rPr>
                <w:rFonts w:ascii="Arial" w:hAnsi="Arial" w:cs="Arial"/>
                <w:bCs/>
                <w:sz w:val="22"/>
                <w:szCs w:val="22"/>
              </w:rPr>
              <w:t>procedures</w:t>
            </w:r>
            <w:proofErr w:type="gramEnd"/>
            <w:r>
              <w:rPr>
                <w:rFonts w:ascii="Arial" w:hAnsi="Arial" w:cs="Arial"/>
                <w:bCs/>
                <w:sz w:val="22"/>
                <w:szCs w:val="22"/>
              </w:rPr>
              <w:t xml:space="preserve"> and training in place that detail personal contact and give assurance to the SAB that staff are competent and confident in this area of practice. </w:t>
            </w:r>
          </w:p>
          <w:p w14:paraId="764B2830" w14:textId="77777777" w:rsidR="007E3A09" w:rsidRDefault="007E3A09" w:rsidP="0035681E">
            <w:pPr>
              <w:rPr>
                <w:rFonts w:ascii="Arial" w:hAnsi="Arial" w:cs="Arial"/>
                <w:bCs/>
                <w:sz w:val="22"/>
                <w:szCs w:val="22"/>
              </w:rPr>
            </w:pPr>
          </w:p>
          <w:p w14:paraId="3C51ACAE" w14:textId="77777777" w:rsidR="007E3A09" w:rsidRDefault="007E3A09" w:rsidP="0035681E">
            <w:pPr>
              <w:rPr>
                <w:rFonts w:ascii="Arial" w:hAnsi="Arial" w:cs="Arial"/>
                <w:bCs/>
                <w:sz w:val="22"/>
                <w:szCs w:val="22"/>
              </w:rPr>
            </w:pPr>
            <w:r>
              <w:rPr>
                <w:rFonts w:ascii="Arial" w:hAnsi="Arial" w:cs="Arial"/>
                <w:bCs/>
                <w:sz w:val="22"/>
                <w:szCs w:val="22"/>
              </w:rPr>
              <w:t>Ensure the importance of seeing service users is contained within safeguarding training including resolution / escalation processes if the opportunity to do this is being prevented</w:t>
            </w:r>
          </w:p>
          <w:p w14:paraId="245A50C6" w14:textId="77777777" w:rsidR="007E3A09" w:rsidRDefault="007E3A09" w:rsidP="00836724">
            <w:pPr>
              <w:rPr>
                <w:rFonts w:ascii="Arial" w:hAnsi="Arial" w:cs="Arial"/>
                <w:bCs/>
                <w:sz w:val="22"/>
                <w:szCs w:val="22"/>
              </w:rPr>
            </w:pPr>
          </w:p>
        </w:tc>
        <w:tc>
          <w:tcPr>
            <w:tcW w:w="1389" w:type="dxa"/>
          </w:tcPr>
          <w:p w14:paraId="37D9934C" w14:textId="77777777" w:rsidR="007E3A09" w:rsidRDefault="007E3A09" w:rsidP="0035681E">
            <w:pPr>
              <w:pStyle w:val="ListParagraph"/>
              <w:ind w:left="0"/>
              <w:rPr>
                <w:rFonts w:ascii="Arial" w:hAnsi="Arial" w:cs="Arial"/>
                <w:sz w:val="22"/>
                <w:szCs w:val="22"/>
              </w:rPr>
            </w:pPr>
            <w:r>
              <w:rPr>
                <w:rFonts w:ascii="Arial" w:hAnsi="Arial" w:cs="Arial"/>
                <w:sz w:val="22"/>
                <w:szCs w:val="22"/>
              </w:rPr>
              <w:t>January 2020</w:t>
            </w:r>
          </w:p>
          <w:p w14:paraId="30F49C82" w14:textId="77777777" w:rsidR="007E3A09" w:rsidRPr="00BB2C10" w:rsidRDefault="007E3A09" w:rsidP="00B641A3">
            <w:pPr>
              <w:pStyle w:val="ListParagraph"/>
              <w:ind w:left="0"/>
              <w:rPr>
                <w:rFonts w:ascii="Arial" w:hAnsi="Arial" w:cs="Arial"/>
                <w:sz w:val="22"/>
                <w:szCs w:val="22"/>
              </w:rPr>
            </w:pPr>
          </w:p>
        </w:tc>
        <w:tc>
          <w:tcPr>
            <w:tcW w:w="1559" w:type="dxa"/>
          </w:tcPr>
          <w:p w14:paraId="3324EF29" w14:textId="77777777" w:rsidR="007E3A09" w:rsidRPr="00BB2C10" w:rsidRDefault="007E3A09" w:rsidP="0035681E">
            <w:pPr>
              <w:pStyle w:val="ListParagraph"/>
              <w:ind w:left="0"/>
              <w:rPr>
                <w:rFonts w:ascii="Arial" w:hAnsi="Arial" w:cs="Arial"/>
                <w:sz w:val="22"/>
                <w:szCs w:val="22"/>
              </w:rPr>
            </w:pPr>
            <w:r>
              <w:rPr>
                <w:rFonts w:ascii="Arial" w:hAnsi="Arial" w:cs="Arial"/>
                <w:sz w:val="22"/>
                <w:szCs w:val="22"/>
              </w:rPr>
              <w:t>OP Subgroup / TWD Subgroup</w:t>
            </w:r>
          </w:p>
          <w:p w14:paraId="2AF7B9C2" w14:textId="77777777" w:rsidR="007E3A09" w:rsidRPr="00BB2C10" w:rsidRDefault="007E3A09" w:rsidP="0035681E">
            <w:pPr>
              <w:pStyle w:val="ListParagraph"/>
              <w:ind w:left="0"/>
              <w:rPr>
                <w:rFonts w:ascii="Arial" w:hAnsi="Arial" w:cs="Arial"/>
                <w:sz w:val="22"/>
                <w:szCs w:val="22"/>
              </w:rPr>
            </w:pPr>
          </w:p>
          <w:p w14:paraId="7C9E145A" w14:textId="77777777" w:rsidR="007E3A09" w:rsidRPr="00BB2C10" w:rsidRDefault="007E3A09" w:rsidP="00527EE0">
            <w:pPr>
              <w:pStyle w:val="ListParagraph"/>
              <w:ind w:left="0"/>
              <w:rPr>
                <w:rFonts w:ascii="Arial" w:hAnsi="Arial" w:cs="Arial"/>
                <w:sz w:val="22"/>
                <w:szCs w:val="22"/>
              </w:rPr>
            </w:pPr>
          </w:p>
        </w:tc>
        <w:tc>
          <w:tcPr>
            <w:tcW w:w="2693" w:type="dxa"/>
          </w:tcPr>
          <w:p w14:paraId="577FA878" w14:textId="643B7DBF" w:rsidR="007E3A09" w:rsidRPr="00647BA5" w:rsidRDefault="007E3A09" w:rsidP="00586390">
            <w:pPr>
              <w:pStyle w:val="ListParagraph"/>
              <w:ind w:left="0"/>
              <w:rPr>
                <w:rFonts w:ascii="Arial" w:hAnsi="Arial" w:cs="Arial"/>
                <w:sz w:val="22"/>
                <w:szCs w:val="22"/>
              </w:rPr>
            </w:pPr>
          </w:p>
        </w:tc>
        <w:tc>
          <w:tcPr>
            <w:tcW w:w="992" w:type="dxa"/>
            <w:tcBorders>
              <w:bottom w:val="single" w:sz="4" w:space="0" w:color="auto"/>
            </w:tcBorders>
            <w:shd w:val="clear" w:color="auto" w:fill="00B050"/>
          </w:tcPr>
          <w:p w14:paraId="576EF376" w14:textId="77777777" w:rsidR="007E3A09" w:rsidRDefault="007E3A09" w:rsidP="00910AA0">
            <w:pPr>
              <w:pStyle w:val="ListParagraph"/>
              <w:ind w:left="0"/>
              <w:jc w:val="center"/>
              <w:rPr>
                <w:rFonts w:ascii="Arial" w:hAnsi="Arial" w:cs="Arial"/>
                <w:sz w:val="20"/>
                <w:szCs w:val="20"/>
              </w:rPr>
            </w:pPr>
          </w:p>
          <w:p w14:paraId="567ED6F9" w14:textId="77777777" w:rsidR="007E3A09" w:rsidRDefault="007E3A09" w:rsidP="00910AA0">
            <w:pPr>
              <w:pStyle w:val="ListParagraph"/>
              <w:ind w:left="0"/>
              <w:jc w:val="center"/>
              <w:rPr>
                <w:rFonts w:ascii="Arial" w:hAnsi="Arial" w:cs="Arial"/>
                <w:sz w:val="20"/>
                <w:szCs w:val="20"/>
              </w:rPr>
            </w:pPr>
          </w:p>
          <w:p w14:paraId="5B09F7E1" w14:textId="77777777" w:rsidR="007E3A09" w:rsidRDefault="007E3A09" w:rsidP="00910AA0">
            <w:pPr>
              <w:pStyle w:val="ListParagraph"/>
              <w:ind w:left="0"/>
              <w:jc w:val="center"/>
              <w:rPr>
                <w:rFonts w:ascii="Arial" w:hAnsi="Arial" w:cs="Arial"/>
                <w:sz w:val="20"/>
                <w:szCs w:val="20"/>
              </w:rPr>
            </w:pPr>
          </w:p>
          <w:p w14:paraId="28776262" w14:textId="77777777" w:rsidR="007E3A09" w:rsidRDefault="007E3A09" w:rsidP="00910AA0">
            <w:pPr>
              <w:pStyle w:val="ListParagraph"/>
              <w:ind w:left="0"/>
              <w:jc w:val="center"/>
              <w:rPr>
                <w:rFonts w:ascii="Arial" w:hAnsi="Arial" w:cs="Arial"/>
                <w:sz w:val="20"/>
                <w:szCs w:val="20"/>
              </w:rPr>
            </w:pPr>
            <w:r>
              <w:rPr>
                <w:rFonts w:ascii="Arial" w:hAnsi="Arial" w:cs="Arial"/>
                <w:sz w:val="20"/>
                <w:szCs w:val="20"/>
              </w:rPr>
              <w:t>G</w:t>
            </w:r>
          </w:p>
        </w:tc>
      </w:tr>
      <w:tr w:rsidR="007E3A09" w:rsidRPr="00201FAC" w14:paraId="085DF532" w14:textId="77777777" w:rsidTr="00526932">
        <w:trPr>
          <w:trHeight w:val="1899"/>
        </w:trPr>
        <w:tc>
          <w:tcPr>
            <w:tcW w:w="4395" w:type="dxa"/>
            <w:vMerge/>
          </w:tcPr>
          <w:p w14:paraId="0F7F4F43" w14:textId="77777777" w:rsidR="007E3A09" w:rsidRDefault="007E3A09" w:rsidP="00B641A3">
            <w:pPr>
              <w:jc w:val="both"/>
              <w:rPr>
                <w:rFonts w:ascii="Arial" w:hAnsi="Arial" w:cs="Arial"/>
                <w:b/>
                <w:color w:val="943634" w:themeColor="accent2" w:themeShade="BF"/>
                <w:sz w:val="22"/>
                <w:szCs w:val="22"/>
              </w:rPr>
            </w:pPr>
          </w:p>
        </w:tc>
        <w:tc>
          <w:tcPr>
            <w:tcW w:w="4140" w:type="dxa"/>
          </w:tcPr>
          <w:p w14:paraId="2210857F" w14:textId="77777777" w:rsidR="007E3A09" w:rsidRDefault="007E3A09" w:rsidP="0035681E">
            <w:pPr>
              <w:rPr>
                <w:rFonts w:ascii="Arial" w:hAnsi="Arial" w:cs="Arial"/>
                <w:bCs/>
                <w:sz w:val="22"/>
                <w:szCs w:val="22"/>
              </w:rPr>
            </w:pPr>
            <w:r>
              <w:rPr>
                <w:rFonts w:ascii="Arial" w:hAnsi="Arial" w:cs="Arial"/>
                <w:bCs/>
                <w:sz w:val="22"/>
                <w:szCs w:val="22"/>
              </w:rPr>
              <w:t>To update and refresh the SAB MSP leaflet to ensure that clear information is provided regarding the expectation for staff to have direct personal contact with adults they are working with.  For all SAB partners to ensure this documentation is distributed widely within their agencies.</w:t>
            </w:r>
          </w:p>
          <w:p w14:paraId="6EDE2FE7" w14:textId="77777777" w:rsidR="007E3A09" w:rsidRPr="00BB2C10" w:rsidRDefault="007E3A09" w:rsidP="0035681E">
            <w:pPr>
              <w:rPr>
                <w:rFonts w:ascii="Arial" w:hAnsi="Arial" w:cs="Arial"/>
                <w:bCs/>
                <w:sz w:val="22"/>
                <w:szCs w:val="22"/>
              </w:rPr>
            </w:pPr>
          </w:p>
        </w:tc>
        <w:tc>
          <w:tcPr>
            <w:tcW w:w="1389" w:type="dxa"/>
          </w:tcPr>
          <w:p w14:paraId="5CE097CB" w14:textId="77777777" w:rsidR="007E3A09" w:rsidRDefault="005E52B4" w:rsidP="0035681E">
            <w:pPr>
              <w:pStyle w:val="ListParagraph"/>
              <w:ind w:left="0"/>
              <w:rPr>
                <w:rFonts w:ascii="Arial" w:hAnsi="Arial" w:cs="Arial"/>
                <w:sz w:val="22"/>
                <w:szCs w:val="22"/>
              </w:rPr>
            </w:pPr>
            <w:r>
              <w:rPr>
                <w:rFonts w:ascii="Arial" w:hAnsi="Arial" w:cs="Arial"/>
                <w:sz w:val="22"/>
                <w:szCs w:val="22"/>
              </w:rPr>
              <w:t xml:space="preserve">September </w:t>
            </w:r>
            <w:r w:rsidR="007E3A09">
              <w:rPr>
                <w:rFonts w:ascii="Arial" w:hAnsi="Arial" w:cs="Arial"/>
                <w:sz w:val="22"/>
                <w:szCs w:val="22"/>
              </w:rPr>
              <w:t>2020</w:t>
            </w:r>
          </w:p>
          <w:p w14:paraId="2F2C2FB9" w14:textId="77777777" w:rsidR="007E3A09" w:rsidRDefault="007E3A09" w:rsidP="0035681E">
            <w:pPr>
              <w:pStyle w:val="ListParagraph"/>
              <w:ind w:left="0"/>
              <w:rPr>
                <w:rFonts w:ascii="Arial" w:hAnsi="Arial" w:cs="Arial"/>
                <w:sz w:val="22"/>
                <w:szCs w:val="22"/>
              </w:rPr>
            </w:pPr>
          </w:p>
        </w:tc>
        <w:tc>
          <w:tcPr>
            <w:tcW w:w="1559" w:type="dxa"/>
          </w:tcPr>
          <w:p w14:paraId="4D2F920A" w14:textId="77777777" w:rsidR="007E3A09" w:rsidRDefault="007E3A09" w:rsidP="0035681E">
            <w:pPr>
              <w:pStyle w:val="ListParagraph"/>
              <w:ind w:left="0"/>
              <w:rPr>
                <w:rFonts w:ascii="Arial" w:hAnsi="Arial" w:cs="Arial"/>
                <w:sz w:val="22"/>
                <w:szCs w:val="22"/>
              </w:rPr>
            </w:pPr>
            <w:r>
              <w:rPr>
                <w:rFonts w:ascii="Arial" w:hAnsi="Arial" w:cs="Arial"/>
                <w:sz w:val="22"/>
                <w:szCs w:val="22"/>
              </w:rPr>
              <w:t xml:space="preserve">SCN Subgroup / </w:t>
            </w:r>
          </w:p>
          <w:p w14:paraId="35026E90" w14:textId="77777777" w:rsidR="007E3A09" w:rsidRDefault="007E3A09" w:rsidP="0035681E">
            <w:pPr>
              <w:pStyle w:val="ListParagraph"/>
              <w:ind w:left="0"/>
              <w:rPr>
                <w:rFonts w:ascii="Arial" w:hAnsi="Arial" w:cs="Arial"/>
                <w:sz w:val="22"/>
                <w:szCs w:val="22"/>
              </w:rPr>
            </w:pPr>
            <w:r>
              <w:rPr>
                <w:rFonts w:ascii="Arial" w:hAnsi="Arial" w:cs="Arial"/>
                <w:sz w:val="22"/>
                <w:szCs w:val="22"/>
              </w:rPr>
              <w:t>OP Subgroup</w:t>
            </w:r>
          </w:p>
          <w:p w14:paraId="3958577D" w14:textId="77777777" w:rsidR="007E3A09" w:rsidRDefault="007E3A09" w:rsidP="0035681E">
            <w:pPr>
              <w:pStyle w:val="ListParagraph"/>
              <w:ind w:left="0"/>
              <w:rPr>
                <w:rFonts w:ascii="Arial" w:hAnsi="Arial" w:cs="Arial"/>
                <w:sz w:val="22"/>
                <w:szCs w:val="22"/>
              </w:rPr>
            </w:pPr>
          </w:p>
        </w:tc>
        <w:tc>
          <w:tcPr>
            <w:tcW w:w="2693" w:type="dxa"/>
          </w:tcPr>
          <w:p w14:paraId="35E9B618" w14:textId="300FABB8" w:rsidR="007E3A09" w:rsidRPr="00DE39A5" w:rsidRDefault="00F346B1" w:rsidP="007E523B">
            <w:pPr>
              <w:pStyle w:val="ListParagraph"/>
              <w:ind w:left="0"/>
              <w:rPr>
                <w:rFonts w:ascii="Arial" w:hAnsi="Arial" w:cs="Arial"/>
                <w:bCs/>
                <w:iCs/>
                <w:sz w:val="22"/>
                <w:szCs w:val="22"/>
              </w:rPr>
            </w:pPr>
            <w:r>
              <w:rPr>
                <w:rFonts w:ascii="Arial" w:hAnsi="Arial" w:cs="Arial"/>
                <w:bCs/>
                <w:iCs/>
                <w:sz w:val="22"/>
                <w:szCs w:val="22"/>
              </w:rPr>
              <w:t xml:space="preserve">Published on </w:t>
            </w:r>
            <w:r w:rsidR="00FC3B13">
              <w:rPr>
                <w:rFonts w:ascii="Arial" w:hAnsi="Arial" w:cs="Arial"/>
                <w:bCs/>
                <w:iCs/>
                <w:sz w:val="22"/>
                <w:szCs w:val="22"/>
              </w:rPr>
              <w:t xml:space="preserve">SAB website on </w:t>
            </w:r>
            <w:r>
              <w:rPr>
                <w:rFonts w:ascii="Arial" w:hAnsi="Arial" w:cs="Arial"/>
                <w:bCs/>
                <w:iCs/>
                <w:sz w:val="22"/>
                <w:szCs w:val="22"/>
              </w:rPr>
              <w:t>23/11/2020</w:t>
            </w:r>
            <w:r w:rsidR="00526932">
              <w:rPr>
                <w:rFonts w:ascii="Arial" w:hAnsi="Arial" w:cs="Arial"/>
                <w:bCs/>
                <w:iCs/>
                <w:sz w:val="22"/>
                <w:szCs w:val="22"/>
              </w:rPr>
              <w:t>.</w:t>
            </w:r>
          </w:p>
        </w:tc>
        <w:tc>
          <w:tcPr>
            <w:tcW w:w="992" w:type="dxa"/>
            <w:tcBorders>
              <w:bottom w:val="single" w:sz="4" w:space="0" w:color="auto"/>
            </w:tcBorders>
            <w:shd w:val="clear" w:color="auto" w:fill="00B050"/>
          </w:tcPr>
          <w:p w14:paraId="61FB962D" w14:textId="77777777" w:rsidR="007E3A09" w:rsidRDefault="007E3A09" w:rsidP="00910AA0">
            <w:pPr>
              <w:pStyle w:val="ListParagraph"/>
              <w:ind w:left="0"/>
              <w:jc w:val="center"/>
              <w:rPr>
                <w:rFonts w:ascii="Arial" w:hAnsi="Arial" w:cs="Arial"/>
                <w:sz w:val="20"/>
                <w:szCs w:val="20"/>
              </w:rPr>
            </w:pPr>
          </w:p>
          <w:p w14:paraId="0BBD25ED" w14:textId="77777777" w:rsidR="007E3A09" w:rsidRDefault="007E3A09" w:rsidP="00910AA0">
            <w:pPr>
              <w:pStyle w:val="ListParagraph"/>
              <w:ind w:left="0"/>
              <w:jc w:val="center"/>
              <w:rPr>
                <w:rFonts w:ascii="Arial" w:hAnsi="Arial" w:cs="Arial"/>
                <w:sz w:val="20"/>
                <w:szCs w:val="20"/>
              </w:rPr>
            </w:pPr>
          </w:p>
          <w:p w14:paraId="7264A5F3" w14:textId="77777777" w:rsidR="007E3A09" w:rsidRDefault="007E3A09" w:rsidP="00910AA0">
            <w:pPr>
              <w:pStyle w:val="ListParagraph"/>
              <w:ind w:left="0"/>
              <w:jc w:val="center"/>
              <w:rPr>
                <w:rFonts w:ascii="Arial" w:hAnsi="Arial" w:cs="Arial"/>
                <w:sz w:val="20"/>
                <w:szCs w:val="20"/>
              </w:rPr>
            </w:pPr>
          </w:p>
          <w:p w14:paraId="1A3F459A" w14:textId="271BA83A" w:rsidR="007E3A09" w:rsidRDefault="00526932" w:rsidP="00910AA0">
            <w:pPr>
              <w:pStyle w:val="ListParagraph"/>
              <w:ind w:left="0"/>
              <w:jc w:val="center"/>
              <w:rPr>
                <w:rFonts w:ascii="Arial" w:hAnsi="Arial" w:cs="Arial"/>
                <w:sz w:val="20"/>
                <w:szCs w:val="20"/>
              </w:rPr>
            </w:pPr>
            <w:r>
              <w:rPr>
                <w:rFonts w:ascii="Arial" w:hAnsi="Arial" w:cs="Arial"/>
                <w:sz w:val="20"/>
                <w:szCs w:val="20"/>
              </w:rPr>
              <w:t>G</w:t>
            </w:r>
          </w:p>
        </w:tc>
      </w:tr>
      <w:tr w:rsidR="007E3A09" w:rsidRPr="00201FAC" w14:paraId="74A829D1" w14:textId="77777777" w:rsidTr="00DE39A5">
        <w:trPr>
          <w:trHeight w:val="765"/>
        </w:trPr>
        <w:tc>
          <w:tcPr>
            <w:tcW w:w="4395" w:type="dxa"/>
            <w:vMerge/>
          </w:tcPr>
          <w:p w14:paraId="1794473F" w14:textId="77777777" w:rsidR="007E3A09" w:rsidRDefault="007E3A09" w:rsidP="00B641A3">
            <w:pPr>
              <w:jc w:val="both"/>
              <w:rPr>
                <w:rFonts w:ascii="Arial" w:hAnsi="Arial" w:cs="Arial"/>
                <w:b/>
                <w:color w:val="943634" w:themeColor="accent2" w:themeShade="BF"/>
                <w:sz w:val="22"/>
                <w:szCs w:val="22"/>
              </w:rPr>
            </w:pPr>
          </w:p>
        </w:tc>
        <w:tc>
          <w:tcPr>
            <w:tcW w:w="4140" w:type="dxa"/>
          </w:tcPr>
          <w:p w14:paraId="2E7E0BB0" w14:textId="77777777" w:rsidR="007E3A09" w:rsidRDefault="007E3A09" w:rsidP="00910AA0">
            <w:pPr>
              <w:rPr>
                <w:rFonts w:ascii="Arial" w:hAnsi="Arial" w:cs="Arial"/>
                <w:bCs/>
                <w:sz w:val="22"/>
                <w:szCs w:val="22"/>
              </w:rPr>
            </w:pPr>
            <w:r>
              <w:rPr>
                <w:rFonts w:ascii="Arial" w:hAnsi="Arial" w:cs="Arial"/>
                <w:bCs/>
                <w:sz w:val="22"/>
                <w:szCs w:val="22"/>
              </w:rPr>
              <w:t>A multi-agency task and finish group to develop MSP guidance, with positive case studies.  This will include information on comprehensive risk assessments and appropriate</w:t>
            </w:r>
            <w:r w:rsidRPr="00BB2C10">
              <w:rPr>
                <w:rFonts w:ascii="Arial" w:hAnsi="Arial" w:cs="Arial"/>
                <w:bCs/>
                <w:sz w:val="22"/>
                <w:szCs w:val="22"/>
              </w:rPr>
              <w:t xml:space="preserve"> </w:t>
            </w:r>
            <w:r>
              <w:rPr>
                <w:rFonts w:ascii="Arial" w:hAnsi="Arial" w:cs="Arial"/>
                <w:bCs/>
                <w:sz w:val="22"/>
                <w:szCs w:val="22"/>
              </w:rPr>
              <w:t>resolution</w:t>
            </w:r>
            <w:r w:rsidRPr="00BB2C10">
              <w:rPr>
                <w:rFonts w:ascii="Arial" w:hAnsi="Arial" w:cs="Arial"/>
                <w:bCs/>
                <w:sz w:val="22"/>
                <w:szCs w:val="22"/>
              </w:rPr>
              <w:t xml:space="preserve"> </w:t>
            </w:r>
            <w:r>
              <w:rPr>
                <w:rFonts w:ascii="Arial" w:hAnsi="Arial" w:cs="Arial"/>
                <w:bCs/>
                <w:sz w:val="22"/>
                <w:szCs w:val="22"/>
              </w:rPr>
              <w:t xml:space="preserve">mechanisms to respond to situations in which an </w:t>
            </w:r>
            <w:r w:rsidRPr="00BB2C10">
              <w:rPr>
                <w:rFonts w:ascii="Arial" w:hAnsi="Arial" w:cs="Arial"/>
                <w:bCs/>
                <w:sz w:val="22"/>
                <w:szCs w:val="22"/>
              </w:rPr>
              <w:t xml:space="preserve">individual cannot be seen alone and there is a concern or suspicion that a third party is preventing </w:t>
            </w:r>
            <w:r w:rsidRPr="00BB2C10">
              <w:rPr>
                <w:rFonts w:ascii="Arial" w:hAnsi="Arial" w:cs="Arial"/>
                <w:bCs/>
                <w:sz w:val="22"/>
                <w:szCs w:val="22"/>
              </w:rPr>
              <w:lastRenderedPageBreak/>
              <w:t>this</w:t>
            </w:r>
            <w:r>
              <w:rPr>
                <w:rFonts w:ascii="Arial" w:hAnsi="Arial" w:cs="Arial"/>
                <w:bCs/>
                <w:sz w:val="22"/>
                <w:szCs w:val="22"/>
              </w:rPr>
              <w:t xml:space="preserve"> or the adult is experiencing undue influence / coercion</w:t>
            </w:r>
            <w:r w:rsidRPr="00BB2C10">
              <w:rPr>
                <w:rFonts w:ascii="Arial" w:hAnsi="Arial" w:cs="Arial"/>
                <w:bCs/>
                <w:sz w:val="22"/>
                <w:szCs w:val="22"/>
              </w:rPr>
              <w:t xml:space="preserve">. </w:t>
            </w:r>
          </w:p>
          <w:p w14:paraId="34932393" w14:textId="77777777" w:rsidR="007E3A09" w:rsidRDefault="007E3A09" w:rsidP="00910AA0">
            <w:pPr>
              <w:rPr>
                <w:rFonts w:ascii="Arial" w:hAnsi="Arial" w:cs="Arial"/>
                <w:bCs/>
                <w:sz w:val="22"/>
                <w:szCs w:val="22"/>
              </w:rPr>
            </w:pPr>
          </w:p>
        </w:tc>
        <w:tc>
          <w:tcPr>
            <w:tcW w:w="1389" w:type="dxa"/>
          </w:tcPr>
          <w:p w14:paraId="0BC88091" w14:textId="77777777" w:rsidR="007E3A09" w:rsidRPr="00BB2C10" w:rsidRDefault="005E52B4" w:rsidP="0035681E">
            <w:pPr>
              <w:pStyle w:val="ListParagraph"/>
              <w:ind w:left="0"/>
              <w:rPr>
                <w:rFonts w:ascii="Arial" w:hAnsi="Arial" w:cs="Arial"/>
                <w:sz w:val="22"/>
                <w:szCs w:val="22"/>
              </w:rPr>
            </w:pPr>
            <w:r>
              <w:rPr>
                <w:rFonts w:ascii="Arial" w:hAnsi="Arial" w:cs="Arial"/>
                <w:sz w:val="22"/>
                <w:szCs w:val="22"/>
              </w:rPr>
              <w:lastRenderedPageBreak/>
              <w:t xml:space="preserve">September </w:t>
            </w:r>
            <w:r w:rsidR="007E3A09">
              <w:rPr>
                <w:rFonts w:ascii="Arial" w:hAnsi="Arial" w:cs="Arial"/>
                <w:sz w:val="22"/>
                <w:szCs w:val="22"/>
              </w:rPr>
              <w:t>2020</w:t>
            </w:r>
          </w:p>
        </w:tc>
        <w:tc>
          <w:tcPr>
            <w:tcW w:w="1559" w:type="dxa"/>
          </w:tcPr>
          <w:p w14:paraId="25F8FD10" w14:textId="77777777" w:rsidR="007E3A09" w:rsidRPr="00BB2C10" w:rsidRDefault="007E3A09" w:rsidP="0035681E">
            <w:pPr>
              <w:pStyle w:val="ListParagraph"/>
              <w:ind w:left="0"/>
              <w:rPr>
                <w:rFonts w:ascii="Arial" w:hAnsi="Arial" w:cs="Arial"/>
                <w:sz w:val="22"/>
                <w:szCs w:val="22"/>
              </w:rPr>
            </w:pPr>
            <w:r>
              <w:rPr>
                <w:rFonts w:ascii="Arial" w:hAnsi="Arial" w:cs="Arial"/>
                <w:sz w:val="22"/>
                <w:szCs w:val="22"/>
              </w:rPr>
              <w:t>OP Subgroup</w:t>
            </w:r>
          </w:p>
          <w:p w14:paraId="5C11261A" w14:textId="77777777" w:rsidR="007E3A09" w:rsidRPr="00BB2C10" w:rsidRDefault="007E3A09" w:rsidP="0035681E">
            <w:pPr>
              <w:pStyle w:val="ListParagraph"/>
              <w:ind w:left="0"/>
              <w:rPr>
                <w:rFonts w:ascii="Arial" w:hAnsi="Arial" w:cs="Arial"/>
                <w:sz w:val="22"/>
                <w:szCs w:val="22"/>
              </w:rPr>
            </w:pPr>
          </w:p>
          <w:p w14:paraId="18EFA4BD" w14:textId="77777777" w:rsidR="007E3A09" w:rsidRPr="00BB2C10" w:rsidRDefault="007E3A09" w:rsidP="0035681E">
            <w:pPr>
              <w:pStyle w:val="ListParagraph"/>
              <w:ind w:left="0"/>
              <w:rPr>
                <w:rFonts w:ascii="Arial" w:hAnsi="Arial" w:cs="Arial"/>
                <w:sz w:val="22"/>
                <w:szCs w:val="22"/>
              </w:rPr>
            </w:pPr>
          </w:p>
          <w:p w14:paraId="3C8FB2B7" w14:textId="77777777" w:rsidR="007E3A09" w:rsidRPr="00BB2C10" w:rsidRDefault="007E3A09" w:rsidP="0035681E">
            <w:pPr>
              <w:pStyle w:val="ListParagraph"/>
              <w:ind w:left="0"/>
              <w:rPr>
                <w:rFonts w:ascii="Arial" w:hAnsi="Arial" w:cs="Arial"/>
                <w:sz w:val="22"/>
                <w:szCs w:val="22"/>
              </w:rPr>
            </w:pPr>
          </w:p>
          <w:p w14:paraId="6FC7D7F7" w14:textId="77777777" w:rsidR="007E3A09" w:rsidRDefault="007E3A09" w:rsidP="0035681E">
            <w:pPr>
              <w:pStyle w:val="ListParagraph"/>
              <w:ind w:left="0"/>
              <w:rPr>
                <w:rFonts w:ascii="Arial" w:hAnsi="Arial" w:cs="Arial"/>
                <w:sz w:val="22"/>
                <w:szCs w:val="22"/>
              </w:rPr>
            </w:pPr>
          </w:p>
          <w:p w14:paraId="60B5157D" w14:textId="77777777" w:rsidR="007E3A09" w:rsidRPr="00BB2C10" w:rsidRDefault="007E3A09" w:rsidP="0035681E">
            <w:pPr>
              <w:pStyle w:val="ListParagraph"/>
              <w:ind w:left="0"/>
              <w:rPr>
                <w:rFonts w:ascii="Arial" w:hAnsi="Arial" w:cs="Arial"/>
                <w:sz w:val="22"/>
                <w:szCs w:val="22"/>
              </w:rPr>
            </w:pPr>
          </w:p>
        </w:tc>
        <w:tc>
          <w:tcPr>
            <w:tcW w:w="2693" w:type="dxa"/>
          </w:tcPr>
          <w:p w14:paraId="3B957E9C" w14:textId="526D0612" w:rsidR="00957FA9" w:rsidRPr="00015018" w:rsidRDefault="00DE39A5" w:rsidP="007E523B">
            <w:pPr>
              <w:pStyle w:val="ListParagraph"/>
              <w:ind w:left="0"/>
              <w:rPr>
                <w:rFonts w:ascii="Arial" w:hAnsi="Arial" w:cs="Arial"/>
                <w:sz w:val="22"/>
                <w:szCs w:val="22"/>
              </w:rPr>
            </w:pPr>
            <w:r>
              <w:rPr>
                <w:rFonts w:ascii="Arial" w:hAnsi="Arial" w:cs="Arial"/>
                <w:sz w:val="22"/>
                <w:szCs w:val="22"/>
              </w:rPr>
              <w:t>Guidance published on SAB website 0</w:t>
            </w:r>
            <w:r w:rsidR="002B13E7">
              <w:rPr>
                <w:rFonts w:ascii="Arial" w:hAnsi="Arial" w:cs="Arial"/>
                <w:sz w:val="22"/>
                <w:szCs w:val="22"/>
              </w:rPr>
              <w:t>8</w:t>
            </w:r>
            <w:r>
              <w:rPr>
                <w:rFonts w:ascii="Arial" w:hAnsi="Arial" w:cs="Arial"/>
                <w:sz w:val="22"/>
                <w:szCs w:val="22"/>
              </w:rPr>
              <w:t>/10/2020</w:t>
            </w:r>
            <w:r w:rsidR="002B13E7">
              <w:rPr>
                <w:rFonts w:ascii="Arial" w:hAnsi="Arial" w:cs="Arial"/>
                <w:sz w:val="22"/>
                <w:szCs w:val="22"/>
              </w:rPr>
              <w:t>.</w:t>
            </w:r>
          </w:p>
        </w:tc>
        <w:tc>
          <w:tcPr>
            <w:tcW w:w="992" w:type="dxa"/>
            <w:tcBorders>
              <w:bottom w:val="single" w:sz="4" w:space="0" w:color="auto"/>
            </w:tcBorders>
            <w:shd w:val="clear" w:color="auto" w:fill="00B050"/>
          </w:tcPr>
          <w:p w14:paraId="7127089A" w14:textId="77777777" w:rsidR="007E3A09" w:rsidRDefault="007E3A09" w:rsidP="00910AA0">
            <w:pPr>
              <w:pStyle w:val="ListParagraph"/>
              <w:ind w:left="0"/>
              <w:jc w:val="center"/>
              <w:rPr>
                <w:rFonts w:ascii="Arial" w:hAnsi="Arial" w:cs="Arial"/>
                <w:sz w:val="20"/>
                <w:szCs w:val="20"/>
              </w:rPr>
            </w:pPr>
          </w:p>
          <w:p w14:paraId="0181E54C" w14:textId="77777777" w:rsidR="007E3A09" w:rsidRDefault="007E3A09" w:rsidP="00910AA0">
            <w:pPr>
              <w:pStyle w:val="ListParagraph"/>
              <w:ind w:left="0"/>
              <w:jc w:val="center"/>
              <w:rPr>
                <w:rFonts w:ascii="Arial" w:hAnsi="Arial" w:cs="Arial"/>
                <w:sz w:val="20"/>
                <w:szCs w:val="20"/>
              </w:rPr>
            </w:pPr>
          </w:p>
          <w:p w14:paraId="6F465711" w14:textId="77777777" w:rsidR="007E3A09" w:rsidRDefault="007E3A09" w:rsidP="00910AA0">
            <w:pPr>
              <w:pStyle w:val="ListParagraph"/>
              <w:ind w:left="0"/>
              <w:jc w:val="center"/>
              <w:rPr>
                <w:rFonts w:ascii="Arial" w:hAnsi="Arial" w:cs="Arial"/>
                <w:sz w:val="20"/>
                <w:szCs w:val="20"/>
              </w:rPr>
            </w:pPr>
          </w:p>
          <w:p w14:paraId="78872BCC" w14:textId="1330A43F" w:rsidR="007E3A09" w:rsidRDefault="00DE39A5" w:rsidP="00910AA0">
            <w:pPr>
              <w:pStyle w:val="ListParagraph"/>
              <w:ind w:left="0"/>
              <w:jc w:val="center"/>
              <w:rPr>
                <w:rFonts w:ascii="Arial" w:hAnsi="Arial" w:cs="Arial"/>
                <w:sz w:val="20"/>
                <w:szCs w:val="20"/>
              </w:rPr>
            </w:pPr>
            <w:r>
              <w:rPr>
                <w:rFonts w:ascii="Arial" w:hAnsi="Arial" w:cs="Arial"/>
                <w:sz w:val="20"/>
                <w:szCs w:val="20"/>
              </w:rPr>
              <w:t>G</w:t>
            </w:r>
          </w:p>
        </w:tc>
      </w:tr>
      <w:tr w:rsidR="007E3A09" w:rsidRPr="00201FAC" w14:paraId="30C42084" w14:textId="77777777" w:rsidTr="005E52B4">
        <w:trPr>
          <w:trHeight w:val="1899"/>
        </w:trPr>
        <w:tc>
          <w:tcPr>
            <w:tcW w:w="4395" w:type="dxa"/>
            <w:vMerge/>
          </w:tcPr>
          <w:p w14:paraId="725928BD" w14:textId="77777777" w:rsidR="007E3A09" w:rsidRPr="002A64CB" w:rsidRDefault="007E3A09" w:rsidP="00B641A3">
            <w:pPr>
              <w:jc w:val="both"/>
              <w:rPr>
                <w:rFonts w:ascii="Arial" w:hAnsi="Arial" w:cs="Arial"/>
                <w:b/>
                <w:color w:val="943634" w:themeColor="accent2" w:themeShade="BF"/>
                <w:sz w:val="22"/>
                <w:szCs w:val="22"/>
              </w:rPr>
            </w:pPr>
          </w:p>
        </w:tc>
        <w:tc>
          <w:tcPr>
            <w:tcW w:w="4140" w:type="dxa"/>
          </w:tcPr>
          <w:p w14:paraId="617CD790" w14:textId="77777777" w:rsidR="007E3A09" w:rsidRDefault="007E3A09" w:rsidP="00836724">
            <w:pPr>
              <w:rPr>
                <w:rFonts w:ascii="Arial" w:hAnsi="Arial" w:cs="Arial"/>
                <w:bCs/>
                <w:sz w:val="22"/>
                <w:szCs w:val="22"/>
              </w:rPr>
            </w:pPr>
            <w:r>
              <w:rPr>
                <w:rFonts w:ascii="Arial" w:hAnsi="Arial" w:cs="Arial"/>
                <w:bCs/>
                <w:sz w:val="22"/>
                <w:szCs w:val="22"/>
              </w:rPr>
              <w:t>A m</w:t>
            </w:r>
            <w:r w:rsidRPr="00BB2C10">
              <w:rPr>
                <w:rFonts w:ascii="Arial" w:hAnsi="Arial" w:cs="Arial"/>
                <w:bCs/>
                <w:sz w:val="22"/>
                <w:szCs w:val="22"/>
              </w:rPr>
              <w:t xml:space="preserve">ulti-agency </w:t>
            </w:r>
            <w:r>
              <w:rPr>
                <w:rFonts w:ascii="Arial" w:hAnsi="Arial" w:cs="Arial"/>
                <w:bCs/>
                <w:sz w:val="22"/>
                <w:szCs w:val="22"/>
              </w:rPr>
              <w:t>l</w:t>
            </w:r>
            <w:r w:rsidRPr="00BB2C10">
              <w:rPr>
                <w:rFonts w:ascii="Arial" w:hAnsi="Arial" w:cs="Arial"/>
                <w:bCs/>
                <w:sz w:val="22"/>
                <w:szCs w:val="22"/>
              </w:rPr>
              <w:t xml:space="preserve">earning </w:t>
            </w:r>
            <w:r>
              <w:rPr>
                <w:rFonts w:ascii="Arial" w:hAnsi="Arial" w:cs="Arial"/>
                <w:bCs/>
                <w:sz w:val="22"/>
                <w:szCs w:val="22"/>
              </w:rPr>
              <w:t>b</w:t>
            </w:r>
            <w:r w:rsidRPr="00BB2C10">
              <w:rPr>
                <w:rFonts w:ascii="Arial" w:hAnsi="Arial" w:cs="Arial"/>
                <w:bCs/>
                <w:sz w:val="22"/>
                <w:szCs w:val="22"/>
              </w:rPr>
              <w:t xml:space="preserve">riefing </w:t>
            </w:r>
            <w:r>
              <w:rPr>
                <w:rFonts w:ascii="Arial" w:hAnsi="Arial" w:cs="Arial"/>
                <w:bCs/>
                <w:sz w:val="22"/>
                <w:szCs w:val="22"/>
              </w:rPr>
              <w:t xml:space="preserve">to be produced for staff in all SAB agencies covering the key findings and learning from this SAR with </w:t>
            </w:r>
            <w:proofErr w:type="gramStart"/>
            <w:r>
              <w:rPr>
                <w:rFonts w:ascii="Arial" w:hAnsi="Arial" w:cs="Arial"/>
                <w:bCs/>
                <w:sz w:val="22"/>
                <w:szCs w:val="22"/>
              </w:rPr>
              <w:t>particular reference</w:t>
            </w:r>
            <w:proofErr w:type="gramEnd"/>
            <w:r>
              <w:rPr>
                <w:rFonts w:ascii="Arial" w:hAnsi="Arial" w:cs="Arial"/>
                <w:bCs/>
                <w:sz w:val="22"/>
                <w:szCs w:val="22"/>
              </w:rPr>
              <w:t xml:space="preserve"> to:</w:t>
            </w:r>
          </w:p>
          <w:p w14:paraId="0D66A7BA" w14:textId="77777777" w:rsidR="007E3A09" w:rsidRDefault="007E3A09" w:rsidP="00B00F9A">
            <w:pPr>
              <w:pStyle w:val="ListParagraph"/>
              <w:numPr>
                <w:ilvl w:val="0"/>
                <w:numId w:val="43"/>
              </w:numPr>
              <w:rPr>
                <w:rFonts w:ascii="Arial" w:hAnsi="Arial" w:cs="Arial"/>
                <w:bCs/>
                <w:sz w:val="22"/>
                <w:szCs w:val="22"/>
              </w:rPr>
            </w:pPr>
            <w:r>
              <w:rPr>
                <w:rFonts w:ascii="Arial" w:hAnsi="Arial" w:cs="Arial"/>
                <w:bCs/>
                <w:sz w:val="22"/>
                <w:szCs w:val="22"/>
              </w:rPr>
              <w:t>Professional curiosity.</w:t>
            </w:r>
          </w:p>
          <w:p w14:paraId="363D3A13" w14:textId="77777777" w:rsidR="007E3A09" w:rsidRDefault="007E3A09" w:rsidP="00B00F9A">
            <w:pPr>
              <w:pStyle w:val="ListParagraph"/>
              <w:numPr>
                <w:ilvl w:val="0"/>
                <w:numId w:val="43"/>
              </w:numPr>
              <w:rPr>
                <w:rFonts w:ascii="Arial" w:hAnsi="Arial" w:cs="Arial"/>
                <w:bCs/>
                <w:sz w:val="22"/>
                <w:szCs w:val="22"/>
              </w:rPr>
            </w:pPr>
            <w:r>
              <w:rPr>
                <w:rFonts w:ascii="Arial" w:hAnsi="Arial" w:cs="Arial"/>
                <w:bCs/>
                <w:sz w:val="22"/>
                <w:szCs w:val="22"/>
              </w:rPr>
              <w:t>MSP including the importance of direct personal contact.</w:t>
            </w:r>
          </w:p>
          <w:p w14:paraId="65E9CAE2" w14:textId="77777777" w:rsidR="007E3A09" w:rsidRDefault="007E3A09" w:rsidP="00B00F9A">
            <w:pPr>
              <w:pStyle w:val="ListParagraph"/>
              <w:numPr>
                <w:ilvl w:val="0"/>
                <w:numId w:val="43"/>
              </w:numPr>
              <w:rPr>
                <w:rFonts w:ascii="Arial" w:hAnsi="Arial" w:cs="Arial"/>
                <w:bCs/>
                <w:sz w:val="22"/>
                <w:szCs w:val="22"/>
              </w:rPr>
            </w:pPr>
            <w:r>
              <w:rPr>
                <w:rFonts w:ascii="Arial" w:hAnsi="Arial" w:cs="Arial"/>
                <w:bCs/>
                <w:sz w:val="22"/>
                <w:szCs w:val="22"/>
              </w:rPr>
              <w:t>Effective information sharing and partnership working.</w:t>
            </w:r>
          </w:p>
          <w:p w14:paraId="55193417" w14:textId="77777777" w:rsidR="007E3A09" w:rsidRDefault="007E3A09" w:rsidP="00747306">
            <w:pPr>
              <w:rPr>
                <w:rFonts w:ascii="Arial" w:hAnsi="Arial" w:cs="Arial"/>
                <w:bCs/>
                <w:sz w:val="22"/>
                <w:szCs w:val="22"/>
              </w:rPr>
            </w:pPr>
          </w:p>
          <w:p w14:paraId="42F03717" w14:textId="77777777" w:rsidR="007E3A09" w:rsidRPr="00BB2C10" w:rsidRDefault="007E3A09" w:rsidP="00910AA0">
            <w:pPr>
              <w:rPr>
                <w:rFonts w:ascii="Arial" w:hAnsi="Arial" w:cs="Arial"/>
                <w:sz w:val="22"/>
                <w:szCs w:val="22"/>
              </w:rPr>
            </w:pPr>
            <w:r>
              <w:rPr>
                <w:rFonts w:ascii="Arial" w:hAnsi="Arial" w:cs="Arial"/>
                <w:bCs/>
                <w:sz w:val="22"/>
                <w:szCs w:val="22"/>
              </w:rPr>
              <w:t>To share the learning briefing with neighbouring SABs by way of the South East Regional SAB network.</w:t>
            </w:r>
          </w:p>
        </w:tc>
        <w:tc>
          <w:tcPr>
            <w:tcW w:w="1389" w:type="dxa"/>
          </w:tcPr>
          <w:p w14:paraId="147E33F1" w14:textId="77777777" w:rsidR="007E3A09" w:rsidRDefault="007E3A09" w:rsidP="00B641A3">
            <w:pPr>
              <w:pStyle w:val="ListParagraph"/>
              <w:ind w:left="0"/>
              <w:rPr>
                <w:rFonts w:ascii="Arial" w:hAnsi="Arial" w:cs="Arial"/>
                <w:sz w:val="22"/>
                <w:szCs w:val="22"/>
              </w:rPr>
            </w:pPr>
            <w:r>
              <w:rPr>
                <w:rFonts w:ascii="Arial" w:hAnsi="Arial" w:cs="Arial"/>
                <w:sz w:val="22"/>
                <w:szCs w:val="22"/>
              </w:rPr>
              <w:t>February 2020</w:t>
            </w:r>
          </w:p>
          <w:p w14:paraId="489B5C13" w14:textId="77777777" w:rsidR="007E3A09" w:rsidRDefault="007E3A09" w:rsidP="00B641A3">
            <w:pPr>
              <w:pStyle w:val="ListParagraph"/>
              <w:ind w:left="0"/>
              <w:rPr>
                <w:rFonts w:ascii="Arial" w:hAnsi="Arial" w:cs="Arial"/>
                <w:sz w:val="22"/>
                <w:szCs w:val="22"/>
              </w:rPr>
            </w:pPr>
          </w:p>
          <w:p w14:paraId="0B280F3C" w14:textId="77777777" w:rsidR="007E3A09" w:rsidRDefault="007E3A09" w:rsidP="00B641A3">
            <w:pPr>
              <w:pStyle w:val="ListParagraph"/>
              <w:ind w:left="0"/>
              <w:rPr>
                <w:rFonts w:ascii="Arial" w:hAnsi="Arial" w:cs="Arial"/>
                <w:sz w:val="22"/>
                <w:szCs w:val="22"/>
              </w:rPr>
            </w:pPr>
          </w:p>
          <w:p w14:paraId="1ADD2B78" w14:textId="77777777" w:rsidR="007E3A09" w:rsidRDefault="007E3A09" w:rsidP="00B641A3">
            <w:pPr>
              <w:pStyle w:val="ListParagraph"/>
              <w:ind w:left="0"/>
              <w:rPr>
                <w:rFonts w:ascii="Arial" w:hAnsi="Arial" w:cs="Arial"/>
                <w:sz w:val="22"/>
                <w:szCs w:val="22"/>
              </w:rPr>
            </w:pPr>
          </w:p>
          <w:p w14:paraId="31D956B0" w14:textId="77777777" w:rsidR="007E3A09" w:rsidRDefault="007E3A09" w:rsidP="00B641A3">
            <w:pPr>
              <w:pStyle w:val="ListParagraph"/>
              <w:ind w:left="0"/>
              <w:rPr>
                <w:rFonts w:ascii="Arial" w:hAnsi="Arial" w:cs="Arial"/>
                <w:sz w:val="22"/>
                <w:szCs w:val="22"/>
              </w:rPr>
            </w:pPr>
          </w:p>
          <w:p w14:paraId="79DF6B56" w14:textId="77777777" w:rsidR="007E3A09" w:rsidRDefault="007E3A09" w:rsidP="00B641A3">
            <w:pPr>
              <w:pStyle w:val="ListParagraph"/>
              <w:ind w:left="0"/>
              <w:rPr>
                <w:rFonts w:ascii="Arial" w:hAnsi="Arial" w:cs="Arial"/>
                <w:sz w:val="22"/>
                <w:szCs w:val="22"/>
              </w:rPr>
            </w:pPr>
          </w:p>
          <w:p w14:paraId="0B25B470" w14:textId="77777777" w:rsidR="007E3A09" w:rsidRDefault="007E3A09" w:rsidP="00B641A3">
            <w:pPr>
              <w:pStyle w:val="ListParagraph"/>
              <w:ind w:left="0"/>
              <w:rPr>
                <w:rFonts w:ascii="Arial" w:hAnsi="Arial" w:cs="Arial"/>
                <w:sz w:val="22"/>
                <w:szCs w:val="22"/>
              </w:rPr>
            </w:pPr>
          </w:p>
          <w:p w14:paraId="4087D945" w14:textId="77777777" w:rsidR="007E3A09" w:rsidRDefault="007E3A09" w:rsidP="00B641A3">
            <w:pPr>
              <w:pStyle w:val="ListParagraph"/>
              <w:ind w:left="0"/>
              <w:rPr>
                <w:rFonts w:ascii="Arial" w:hAnsi="Arial" w:cs="Arial"/>
                <w:sz w:val="22"/>
                <w:szCs w:val="22"/>
              </w:rPr>
            </w:pPr>
          </w:p>
          <w:p w14:paraId="36A708D4" w14:textId="77777777" w:rsidR="007E3A09" w:rsidRDefault="007E3A09" w:rsidP="00B641A3">
            <w:pPr>
              <w:pStyle w:val="ListParagraph"/>
              <w:ind w:left="0"/>
              <w:rPr>
                <w:rFonts w:ascii="Arial" w:hAnsi="Arial" w:cs="Arial"/>
                <w:sz w:val="22"/>
                <w:szCs w:val="22"/>
              </w:rPr>
            </w:pPr>
          </w:p>
          <w:p w14:paraId="410A81E9" w14:textId="77777777" w:rsidR="007E3A09" w:rsidRDefault="007E3A09" w:rsidP="00B641A3">
            <w:pPr>
              <w:pStyle w:val="ListParagraph"/>
              <w:ind w:left="0"/>
              <w:rPr>
                <w:rFonts w:ascii="Arial" w:hAnsi="Arial" w:cs="Arial"/>
                <w:sz w:val="22"/>
                <w:szCs w:val="22"/>
              </w:rPr>
            </w:pPr>
          </w:p>
          <w:p w14:paraId="4B2699C4" w14:textId="77777777" w:rsidR="007E3A09" w:rsidRDefault="007E3A09" w:rsidP="00B641A3">
            <w:pPr>
              <w:pStyle w:val="ListParagraph"/>
              <w:ind w:left="0"/>
              <w:rPr>
                <w:rFonts w:ascii="Arial" w:hAnsi="Arial" w:cs="Arial"/>
                <w:sz w:val="22"/>
                <w:szCs w:val="22"/>
              </w:rPr>
            </w:pPr>
          </w:p>
          <w:p w14:paraId="22E5D10B" w14:textId="77777777" w:rsidR="007E3A09" w:rsidRPr="00BB2C10" w:rsidRDefault="007E3A09" w:rsidP="00825AAA">
            <w:pPr>
              <w:pStyle w:val="ListParagraph"/>
              <w:ind w:left="0"/>
              <w:rPr>
                <w:rFonts w:ascii="Arial" w:hAnsi="Arial" w:cs="Arial"/>
                <w:sz w:val="22"/>
                <w:szCs w:val="22"/>
              </w:rPr>
            </w:pPr>
          </w:p>
        </w:tc>
        <w:tc>
          <w:tcPr>
            <w:tcW w:w="1559" w:type="dxa"/>
          </w:tcPr>
          <w:p w14:paraId="6591487E" w14:textId="77777777" w:rsidR="007E3A09" w:rsidRDefault="007E3A09" w:rsidP="00747306">
            <w:pPr>
              <w:pStyle w:val="ListParagraph"/>
              <w:ind w:left="0"/>
              <w:rPr>
                <w:rFonts w:ascii="Arial" w:hAnsi="Arial" w:cs="Arial"/>
                <w:sz w:val="22"/>
                <w:szCs w:val="22"/>
              </w:rPr>
            </w:pPr>
            <w:r>
              <w:rPr>
                <w:rFonts w:ascii="Arial" w:hAnsi="Arial" w:cs="Arial"/>
                <w:sz w:val="22"/>
                <w:szCs w:val="22"/>
              </w:rPr>
              <w:t xml:space="preserve">PQA Subgroup </w:t>
            </w:r>
          </w:p>
          <w:p w14:paraId="1196FE24" w14:textId="77777777" w:rsidR="007E3A09" w:rsidRDefault="007E3A09" w:rsidP="00747306">
            <w:pPr>
              <w:pStyle w:val="ListParagraph"/>
              <w:ind w:left="0"/>
              <w:rPr>
                <w:rFonts w:ascii="Arial" w:hAnsi="Arial" w:cs="Arial"/>
                <w:sz w:val="22"/>
                <w:szCs w:val="22"/>
              </w:rPr>
            </w:pPr>
          </w:p>
          <w:p w14:paraId="68A061EC" w14:textId="77777777" w:rsidR="007E3A09" w:rsidRDefault="007E3A09" w:rsidP="00747306">
            <w:pPr>
              <w:pStyle w:val="ListParagraph"/>
              <w:ind w:left="0"/>
              <w:rPr>
                <w:rFonts w:ascii="Arial" w:hAnsi="Arial" w:cs="Arial"/>
                <w:sz w:val="22"/>
                <w:szCs w:val="22"/>
              </w:rPr>
            </w:pPr>
          </w:p>
          <w:p w14:paraId="6BD99970" w14:textId="77777777" w:rsidR="007E3A09" w:rsidRDefault="007E3A09" w:rsidP="00747306">
            <w:pPr>
              <w:pStyle w:val="ListParagraph"/>
              <w:ind w:left="0"/>
              <w:rPr>
                <w:rFonts w:ascii="Arial" w:hAnsi="Arial" w:cs="Arial"/>
                <w:sz w:val="22"/>
                <w:szCs w:val="22"/>
              </w:rPr>
            </w:pPr>
          </w:p>
          <w:p w14:paraId="15E03D73" w14:textId="77777777" w:rsidR="007E3A09" w:rsidRDefault="007E3A09" w:rsidP="00747306">
            <w:pPr>
              <w:pStyle w:val="ListParagraph"/>
              <w:ind w:left="0"/>
              <w:rPr>
                <w:rFonts w:ascii="Arial" w:hAnsi="Arial" w:cs="Arial"/>
                <w:sz w:val="22"/>
                <w:szCs w:val="22"/>
              </w:rPr>
            </w:pPr>
          </w:p>
          <w:p w14:paraId="56A21DA6" w14:textId="77777777" w:rsidR="007E3A09" w:rsidRDefault="007E3A09" w:rsidP="00747306">
            <w:pPr>
              <w:pStyle w:val="ListParagraph"/>
              <w:ind w:left="0"/>
              <w:rPr>
                <w:rFonts w:ascii="Arial" w:hAnsi="Arial" w:cs="Arial"/>
                <w:sz w:val="22"/>
                <w:szCs w:val="22"/>
              </w:rPr>
            </w:pPr>
          </w:p>
          <w:p w14:paraId="24583DFA" w14:textId="77777777" w:rsidR="007E3A09" w:rsidRDefault="007E3A09" w:rsidP="00747306">
            <w:pPr>
              <w:pStyle w:val="ListParagraph"/>
              <w:ind w:left="0"/>
              <w:rPr>
                <w:rFonts w:ascii="Arial" w:hAnsi="Arial" w:cs="Arial"/>
                <w:sz w:val="22"/>
                <w:szCs w:val="22"/>
              </w:rPr>
            </w:pPr>
          </w:p>
          <w:p w14:paraId="684E5D09" w14:textId="77777777" w:rsidR="007E3A09" w:rsidRDefault="007E3A09" w:rsidP="00747306">
            <w:pPr>
              <w:pStyle w:val="ListParagraph"/>
              <w:ind w:left="0"/>
              <w:rPr>
                <w:rFonts w:ascii="Arial" w:hAnsi="Arial" w:cs="Arial"/>
                <w:sz w:val="22"/>
                <w:szCs w:val="22"/>
              </w:rPr>
            </w:pPr>
          </w:p>
          <w:p w14:paraId="21540B79" w14:textId="77777777" w:rsidR="007E3A09" w:rsidRDefault="007E3A09" w:rsidP="00747306">
            <w:pPr>
              <w:pStyle w:val="ListParagraph"/>
              <w:ind w:left="0"/>
              <w:rPr>
                <w:rFonts w:ascii="Arial" w:hAnsi="Arial" w:cs="Arial"/>
                <w:sz w:val="22"/>
                <w:szCs w:val="22"/>
              </w:rPr>
            </w:pPr>
          </w:p>
          <w:p w14:paraId="3048D555" w14:textId="77777777" w:rsidR="007E3A09" w:rsidRDefault="007E3A09" w:rsidP="00747306">
            <w:pPr>
              <w:pStyle w:val="ListParagraph"/>
              <w:ind w:left="0"/>
              <w:rPr>
                <w:rFonts w:ascii="Arial" w:hAnsi="Arial" w:cs="Arial"/>
                <w:sz w:val="22"/>
                <w:szCs w:val="22"/>
              </w:rPr>
            </w:pPr>
          </w:p>
          <w:p w14:paraId="752CF671" w14:textId="77777777" w:rsidR="007E3A09" w:rsidRDefault="007E3A09" w:rsidP="00747306">
            <w:pPr>
              <w:pStyle w:val="ListParagraph"/>
              <w:ind w:left="0"/>
              <w:rPr>
                <w:rFonts w:ascii="Arial" w:hAnsi="Arial" w:cs="Arial"/>
                <w:sz w:val="22"/>
                <w:szCs w:val="22"/>
              </w:rPr>
            </w:pPr>
            <w:r>
              <w:rPr>
                <w:rFonts w:ascii="Arial" w:hAnsi="Arial" w:cs="Arial"/>
                <w:sz w:val="22"/>
                <w:szCs w:val="22"/>
              </w:rPr>
              <w:t>SAB Development Manager</w:t>
            </w:r>
          </w:p>
          <w:p w14:paraId="58F741B7" w14:textId="77777777" w:rsidR="007E3A09" w:rsidRPr="00BB2C10" w:rsidRDefault="007E3A09" w:rsidP="00747306">
            <w:pPr>
              <w:pStyle w:val="ListParagraph"/>
              <w:ind w:left="0"/>
              <w:rPr>
                <w:rFonts w:ascii="Arial" w:hAnsi="Arial" w:cs="Arial"/>
                <w:sz w:val="22"/>
                <w:szCs w:val="22"/>
              </w:rPr>
            </w:pPr>
          </w:p>
        </w:tc>
        <w:tc>
          <w:tcPr>
            <w:tcW w:w="2693" w:type="dxa"/>
          </w:tcPr>
          <w:p w14:paraId="20A0DC47" w14:textId="77777777" w:rsidR="007E3A09" w:rsidRPr="00910AA0" w:rsidRDefault="007E3A09" w:rsidP="007E523B">
            <w:pPr>
              <w:pStyle w:val="ListParagraph"/>
              <w:ind w:left="0"/>
              <w:rPr>
                <w:rFonts w:ascii="Arial" w:hAnsi="Arial" w:cs="Arial"/>
                <w:sz w:val="22"/>
                <w:szCs w:val="22"/>
              </w:rPr>
            </w:pPr>
            <w:r>
              <w:rPr>
                <w:rFonts w:ascii="Arial" w:hAnsi="Arial" w:cs="Arial"/>
                <w:sz w:val="22"/>
                <w:szCs w:val="22"/>
              </w:rPr>
              <w:t>Action completed - Learning briefing has shared with all SAB members and neighbouring SABs.</w:t>
            </w:r>
          </w:p>
        </w:tc>
        <w:tc>
          <w:tcPr>
            <w:tcW w:w="992" w:type="dxa"/>
            <w:tcBorders>
              <w:bottom w:val="single" w:sz="4" w:space="0" w:color="auto"/>
            </w:tcBorders>
            <w:shd w:val="clear" w:color="auto" w:fill="00B050"/>
          </w:tcPr>
          <w:p w14:paraId="562F5E9E" w14:textId="77777777" w:rsidR="007E3A09" w:rsidRDefault="007E3A09" w:rsidP="00910AA0">
            <w:pPr>
              <w:pStyle w:val="ListParagraph"/>
              <w:ind w:left="0"/>
              <w:jc w:val="center"/>
              <w:rPr>
                <w:rFonts w:ascii="Arial" w:hAnsi="Arial" w:cs="Arial"/>
                <w:sz w:val="20"/>
                <w:szCs w:val="20"/>
              </w:rPr>
            </w:pPr>
          </w:p>
          <w:p w14:paraId="724DB088" w14:textId="77777777" w:rsidR="007E3A09" w:rsidRDefault="007E3A09" w:rsidP="00910AA0">
            <w:pPr>
              <w:pStyle w:val="ListParagraph"/>
              <w:ind w:left="0"/>
              <w:jc w:val="center"/>
              <w:rPr>
                <w:rFonts w:ascii="Arial" w:hAnsi="Arial" w:cs="Arial"/>
                <w:sz w:val="20"/>
                <w:szCs w:val="20"/>
              </w:rPr>
            </w:pPr>
          </w:p>
          <w:p w14:paraId="297A4925" w14:textId="77777777" w:rsidR="007E3A09" w:rsidRDefault="007E3A09" w:rsidP="00910AA0">
            <w:pPr>
              <w:pStyle w:val="ListParagraph"/>
              <w:ind w:left="0"/>
              <w:jc w:val="center"/>
              <w:rPr>
                <w:rFonts w:ascii="Arial" w:hAnsi="Arial" w:cs="Arial"/>
                <w:sz w:val="20"/>
                <w:szCs w:val="20"/>
              </w:rPr>
            </w:pPr>
          </w:p>
          <w:p w14:paraId="5354CE1B" w14:textId="77777777" w:rsidR="007E3A09" w:rsidRDefault="007E3A09" w:rsidP="00910AA0">
            <w:pPr>
              <w:pStyle w:val="ListParagraph"/>
              <w:ind w:left="0"/>
              <w:jc w:val="center"/>
              <w:rPr>
                <w:rFonts w:ascii="Arial" w:hAnsi="Arial" w:cs="Arial"/>
                <w:sz w:val="20"/>
                <w:szCs w:val="20"/>
              </w:rPr>
            </w:pPr>
          </w:p>
          <w:p w14:paraId="7773CE74" w14:textId="77777777" w:rsidR="007E3A09" w:rsidRPr="00201FAC" w:rsidRDefault="007E3A09" w:rsidP="00910AA0">
            <w:pPr>
              <w:pStyle w:val="ListParagraph"/>
              <w:ind w:left="0"/>
              <w:jc w:val="center"/>
              <w:rPr>
                <w:rFonts w:ascii="Arial" w:hAnsi="Arial" w:cs="Arial"/>
                <w:sz w:val="20"/>
                <w:szCs w:val="20"/>
              </w:rPr>
            </w:pPr>
            <w:r>
              <w:rPr>
                <w:rFonts w:ascii="Arial" w:hAnsi="Arial" w:cs="Arial"/>
                <w:sz w:val="20"/>
                <w:szCs w:val="20"/>
              </w:rPr>
              <w:t>G</w:t>
            </w:r>
          </w:p>
        </w:tc>
      </w:tr>
      <w:tr w:rsidR="007E3A09" w:rsidRPr="00201FAC" w14:paraId="5FC0AD00" w14:textId="77777777" w:rsidTr="00586390">
        <w:trPr>
          <w:trHeight w:val="1298"/>
        </w:trPr>
        <w:tc>
          <w:tcPr>
            <w:tcW w:w="4395" w:type="dxa"/>
            <w:vMerge/>
          </w:tcPr>
          <w:p w14:paraId="6F2042D7" w14:textId="77777777" w:rsidR="007E3A09" w:rsidRDefault="007E3A09" w:rsidP="007C57B5">
            <w:pPr>
              <w:pStyle w:val="ListParagraph"/>
              <w:ind w:left="0"/>
              <w:rPr>
                <w:rFonts w:ascii="Arial" w:hAnsi="Arial" w:cs="Arial"/>
                <w:b/>
                <w:color w:val="943634" w:themeColor="accent2" w:themeShade="BF"/>
                <w:sz w:val="22"/>
                <w:szCs w:val="22"/>
              </w:rPr>
            </w:pPr>
          </w:p>
        </w:tc>
        <w:tc>
          <w:tcPr>
            <w:tcW w:w="4140" w:type="dxa"/>
          </w:tcPr>
          <w:p w14:paraId="43B1189C" w14:textId="77777777" w:rsidR="007E3A09" w:rsidRPr="00BB2C10" w:rsidRDefault="007E3A09" w:rsidP="00586390">
            <w:pPr>
              <w:rPr>
                <w:rFonts w:ascii="Arial" w:hAnsi="Arial" w:cs="Arial"/>
                <w:bCs/>
                <w:sz w:val="22"/>
                <w:szCs w:val="22"/>
              </w:rPr>
            </w:pPr>
            <w:r>
              <w:rPr>
                <w:rFonts w:ascii="Arial" w:hAnsi="Arial" w:cs="Arial"/>
                <w:bCs/>
                <w:sz w:val="22"/>
                <w:szCs w:val="22"/>
              </w:rPr>
              <w:t xml:space="preserve">All agencies to complete a feedback template to evidence how the learning has been applied and shared within their organisations. </w:t>
            </w:r>
          </w:p>
        </w:tc>
        <w:tc>
          <w:tcPr>
            <w:tcW w:w="1389" w:type="dxa"/>
          </w:tcPr>
          <w:p w14:paraId="7C09DEBA" w14:textId="77777777" w:rsidR="007E3A09" w:rsidRDefault="007E3A09" w:rsidP="00B641A3">
            <w:pPr>
              <w:pStyle w:val="ListParagraph"/>
              <w:ind w:left="0"/>
              <w:rPr>
                <w:rFonts w:ascii="Arial" w:hAnsi="Arial" w:cs="Arial"/>
                <w:sz w:val="22"/>
                <w:szCs w:val="22"/>
              </w:rPr>
            </w:pPr>
            <w:r>
              <w:rPr>
                <w:rFonts w:ascii="Arial" w:hAnsi="Arial" w:cs="Arial"/>
                <w:sz w:val="22"/>
                <w:szCs w:val="22"/>
              </w:rPr>
              <w:t>April 2020</w:t>
            </w:r>
          </w:p>
        </w:tc>
        <w:tc>
          <w:tcPr>
            <w:tcW w:w="1559" w:type="dxa"/>
          </w:tcPr>
          <w:p w14:paraId="21B27F68" w14:textId="77777777" w:rsidR="007E3A09" w:rsidRPr="00BB2C10" w:rsidRDefault="007E3A09" w:rsidP="00527EE0">
            <w:pPr>
              <w:pStyle w:val="ListParagraph"/>
              <w:ind w:left="0"/>
              <w:rPr>
                <w:rFonts w:ascii="Arial" w:hAnsi="Arial" w:cs="Arial"/>
                <w:sz w:val="22"/>
                <w:szCs w:val="22"/>
              </w:rPr>
            </w:pPr>
            <w:r>
              <w:rPr>
                <w:rFonts w:ascii="Arial" w:hAnsi="Arial" w:cs="Arial"/>
                <w:sz w:val="22"/>
                <w:szCs w:val="22"/>
              </w:rPr>
              <w:t>All SAB agencies</w:t>
            </w:r>
          </w:p>
        </w:tc>
        <w:tc>
          <w:tcPr>
            <w:tcW w:w="2693" w:type="dxa"/>
          </w:tcPr>
          <w:p w14:paraId="57CE79BE" w14:textId="77777777" w:rsidR="007E3A09" w:rsidRPr="00910AA0" w:rsidRDefault="007E3A09" w:rsidP="007E523B">
            <w:pPr>
              <w:pStyle w:val="ListParagraph"/>
              <w:ind w:left="0"/>
              <w:rPr>
                <w:rFonts w:ascii="Arial" w:hAnsi="Arial" w:cs="Arial"/>
                <w:sz w:val="22"/>
                <w:szCs w:val="22"/>
              </w:rPr>
            </w:pPr>
          </w:p>
        </w:tc>
        <w:tc>
          <w:tcPr>
            <w:tcW w:w="992" w:type="dxa"/>
            <w:tcBorders>
              <w:bottom w:val="single" w:sz="4" w:space="0" w:color="auto"/>
            </w:tcBorders>
            <w:shd w:val="clear" w:color="auto" w:fill="00B050"/>
          </w:tcPr>
          <w:p w14:paraId="27215A5F" w14:textId="77777777" w:rsidR="007E3A09" w:rsidRDefault="007E3A09" w:rsidP="00910AA0">
            <w:pPr>
              <w:pStyle w:val="ListParagraph"/>
              <w:ind w:left="0"/>
              <w:jc w:val="center"/>
              <w:rPr>
                <w:rFonts w:ascii="Arial" w:hAnsi="Arial" w:cs="Arial"/>
                <w:sz w:val="20"/>
                <w:szCs w:val="20"/>
              </w:rPr>
            </w:pPr>
          </w:p>
          <w:p w14:paraId="4594BB03" w14:textId="77777777" w:rsidR="007E3A09" w:rsidRDefault="007E3A09" w:rsidP="00910AA0">
            <w:pPr>
              <w:pStyle w:val="ListParagraph"/>
              <w:ind w:left="0"/>
              <w:jc w:val="center"/>
              <w:rPr>
                <w:rFonts w:ascii="Arial" w:hAnsi="Arial" w:cs="Arial"/>
                <w:sz w:val="20"/>
                <w:szCs w:val="20"/>
              </w:rPr>
            </w:pPr>
          </w:p>
          <w:p w14:paraId="75D74D62" w14:textId="77777777" w:rsidR="007E3A09" w:rsidRDefault="005E52B4" w:rsidP="00910AA0">
            <w:pPr>
              <w:pStyle w:val="ListParagraph"/>
              <w:ind w:left="0"/>
              <w:jc w:val="center"/>
              <w:rPr>
                <w:rFonts w:ascii="Arial" w:hAnsi="Arial" w:cs="Arial"/>
                <w:sz w:val="20"/>
                <w:szCs w:val="20"/>
              </w:rPr>
            </w:pPr>
            <w:r>
              <w:rPr>
                <w:rFonts w:ascii="Arial" w:hAnsi="Arial" w:cs="Arial"/>
                <w:sz w:val="20"/>
                <w:szCs w:val="20"/>
              </w:rPr>
              <w:t>G</w:t>
            </w:r>
          </w:p>
        </w:tc>
      </w:tr>
      <w:tr w:rsidR="00910AA0" w:rsidRPr="00201FAC" w14:paraId="228A760E" w14:textId="77777777" w:rsidTr="005E52B4">
        <w:trPr>
          <w:trHeight w:val="1899"/>
        </w:trPr>
        <w:tc>
          <w:tcPr>
            <w:tcW w:w="4395" w:type="dxa"/>
            <w:vMerge w:val="restart"/>
          </w:tcPr>
          <w:p w14:paraId="7DB9B156" w14:textId="77777777" w:rsidR="00910AA0" w:rsidRPr="00411A10" w:rsidRDefault="00910AA0" w:rsidP="00910AA0">
            <w:pPr>
              <w:pStyle w:val="ListParagraph"/>
              <w:ind w:left="0"/>
              <w:rPr>
                <w:rFonts w:ascii="Arial" w:hAnsi="Arial" w:cs="Arial"/>
                <w:b/>
                <w:color w:val="943634" w:themeColor="accent2" w:themeShade="BF"/>
                <w:sz w:val="22"/>
                <w:szCs w:val="22"/>
              </w:rPr>
            </w:pPr>
            <w:r w:rsidRPr="00411A10">
              <w:rPr>
                <w:rFonts w:ascii="Arial" w:hAnsi="Arial" w:cs="Arial"/>
                <w:b/>
                <w:color w:val="943634" w:themeColor="accent2" w:themeShade="BF"/>
                <w:sz w:val="22"/>
                <w:szCs w:val="22"/>
              </w:rPr>
              <w:t>Recommendation 2:</w:t>
            </w:r>
          </w:p>
          <w:p w14:paraId="57D5365D" w14:textId="77777777" w:rsidR="00910AA0" w:rsidRPr="00411A10" w:rsidRDefault="00910AA0" w:rsidP="00910AA0">
            <w:pPr>
              <w:jc w:val="both"/>
              <w:rPr>
                <w:rFonts w:ascii="Arial" w:hAnsi="Arial" w:cs="Arial"/>
                <w:sz w:val="22"/>
                <w:szCs w:val="22"/>
              </w:rPr>
            </w:pPr>
          </w:p>
          <w:p w14:paraId="29936D05" w14:textId="77777777" w:rsidR="00910AA0" w:rsidRDefault="00910AA0" w:rsidP="00910AA0">
            <w:pPr>
              <w:pStyle w:val="ListParagraph"/>
              <w:ind w:left="0"/>
              <w:rPr>
                <w:rFonts w:ascii="Arial" w:hAnsi="Arial" w:cs="Arial"/>
                <w:b/>
                <w:color w:val="943634" w:themeColor="accent2" w:themeShade="BF"/>
                <w:sz w:val="22"/>
                <w:szCs w:val="22"/>
              </w:rPr>
            </w:pPr>
            <w:r w:rsidRPr="007C57B5">
              <w:rPr>
                <w:rFonts w:ascii="Arial" w:hAnsi="Arial" w:cs="Arial"/>
                <w:bCs/>
                <w:sz w:val="22"/>
                <w:szCs w:val="22"/>
              </w:rPr>
              <w:t xml:space="preserve">The SAB to undertake a sample audit of general agency involvement in the safeguarding process including invitation and attendance at safeguarding meetings and receipt of minutes of such meetings. </w:t>
            </w:r>
            <w:r w:rsidRPr="007C57B5">
              <w:rPr>
                <w:rFonts w:ascii="Arial" w:hAnsi="Arial" w:cs="Arial"/>
                <w:bCs/>
                <w:sz w:val="22"/>
                <w:szCs w:val="22"/>
              </w:rPr>
              <w:lastRenderedPageBreak/>
              <w:t>This is to inform the development of robust mechanisms that ensure appropriate representation at safeguarding meetings, information sharing if attendance is not confirmed, and secure electronic communication.</w:t>
            </w:r>
          </w:p>
        </w:tc>
        <w:tc>
          <w:tcPr>
            <w:tcW w:w="4140" w:type="dxa"/>
          </w:tcPr>
          <w:p w14:paraId="17CA2D7D" w14:textId="77777777" w:rsidR="00910AA0" w:rsidRDefault="00910AA0" w:rsidP="00910AA0">
            <w:pPr>
              <w:rPr>
                <w:rFonts w:ascii="Arial" w:hAnsi="Arial" w:cs="Arial"/>
                <w:sz w:val="22"/>
                <w:szCs w:val="22"/>
              </w:rPr>
            </w:pPr>
            <w:r>
              <w:rPr>
                <w:rFonts w:ascii="Arial" w:hAnsi="Arial" w:cs="Arial"/>
                <w:sz w:val="22"/>
                <w:szCs w:val="22"/>
              </w:rPr>
              <w:lastRenderedPageBreak/>
              <w:t xml:space="preserve">All agencies to be reminded of good practice in relation to partnership working and effective communication via the learning briefing.  </w:t>
            </w:r>
          </w:p>
          <w:p w14:paraId="423FD1A0" w14:textId="77777777" w:rsidR="00910AA0" w:rsidRDefault="00910AA0" w:rsidP="00836724">
            <w:pPr>
              <w:rPr>
                <w:rFonts w:ascii="Arial" w:hAnsi="Arial" w:cs="Arial"/>
                <w:sz w:val="22"/>
                <w:szCs w:val="22"/>
              </w:rPr>
            </w:pPr>
          </w:p>
        </w:tc>
        <w:tc>
          <w:tcPr>
            <w:tcW w:w="1389" w:type="dxa"/>
          </w:tcPr>
          <w:p w14:paraId="2559D054" w14:textId="77777777" w:rsidR="00910AA0" w:rsidRDefault="00015018" w:rsidP="00B641A3">
            <w:pPr>
              <w:pStyle w:val="ListParagraph"/>
              <w:ind w:left="0"/>
              <w:rPr>
                <w:rFonts w:ascii="Arial" w:hAnsi="Arial" w:cs="Arial"/>
                <w:sz w:val="22"/>
                <w:szCs w:val="22"/>
              </w:rPr>
            </w:pPr>
            <w:r>
              <w:rPr>
                <w:rFonts w:ascii="Arial" w:hAnsi="Arial" w:cs="Arial"/>
                <w:sz w:val="22"/>
                <w:szCs w:val="22"/>
              </w:rPr>
              <w:t>February</w:t>
            </w:r>
            <w:r w:rsidR="00825AAA">
              <w:rPr>
                <w:rFonts w:ascii="Arial" w:hAnsi="Arial" w:cs="Arial"/>
                <w:sz w:val="22"/>
                <w:szCs w:val="22"/>
              </w:rPr>
              <w:t xml:space="preserve"> 2020</w:t>
            </w:r>
          </w:p>
        </w:tc>
        <w:tc>
          <w:tcPr>
            <w:tcW w:w="1559" w:type="dxa"/>
          </w:tcPr>
          <w:p w14:paraId="0199DAE5" w14:textId="77777777" w:rsidR="00910AA0" w:rsidRDefault="00910AA0" w:rsidP="00910AA0">
            <w:pPr>
              <w:pStyle w:val="ListParagraph"/>
              <w:ind w:left="0"/>
              <w:rPr>
                <w:rFonts w:ascii="Arial" w:hAnsi="Arial" w:cs="Arial"/>
                <w:sz w:val="22"/>
                <w:szCs w:val="22"/>
              </w:rPr>
            </w:pPr>
            <w:r>
              <w:rPr>
                <w:rFonts w:ascii="Arial" w:hAnsi="Arial" w:cs="Arial"/>
                <w:sz w:val="22"/>
                <w:szCs w:val="22"/>
              </w:rPr>
              <w:t>PQA Subgrou</w:t>
            </w:r>
            <w:r w:rsidR="00A744CD">
              <w:rPr>
                <w:rFonts w:ascii="Arial" w:hAnsi="Arial" w:cs="Arial"/>
                <w:sz w:val="22"/>
                <w:szCs w:val="22"/>
              </w:rPr>
              <w:t>p</w:t>
            </w:r>
          </w:p>
          <w:p w14:paraId="066F3566" w14:textId="77777777" w:rsidR="00910AA0" w:rsidRDefault="00910AA0" w:rsidP="00910AA0">
            <w:pPr>
              <w:pStyle w:val="ListParagraph"/>
              <w:ind w:left="0"/>
              <w:rPr>
                <w:rFonts w:ascii="Arial" w:hAnsi="Arial" w:cs="Arial"/>
                <w:sz w:val="22"/>
                <w:szCs w:val="22"/>
              </w:rPr>
            </w:pPr>
          </w:p>
          <w:p w14:paraId="736031FD" w14:textId="77777777" w:rsidR="00910AA0" w:rsidRDefault="00910AA0" w:rsidP="00B641A3">
            <w:pPr>
              <w:pStyle w:val="ListParagraph"/>
              <w:ind w:left="0"/>
              <w:rPr>
                <w:rFonts w:ascii="Arial" w:hAnsi="Arial" w:cs="Arial"/>
                <w:sz w:val="22"/>
                <w:szCs w:val="22"/>
              </w:rPr>
            </w:pPr>
          </w:p>
        </w:tc>
        <w:tc>
          <w:tcPr>
            <w:tcW w:w="2693" w:type="dxa"/>
          </w:tcPr>
          <w:p w14:paraId="4C6ABB7E" w14:textId="77777777" w:rsidR="00910AA0" w:rsidRDefault="00910AA0" w:rsidP="00E80920">
            <w:pPr>
              <w:pStyle w:val="ListParagraph"/>
              <w:ind w:left="0"/>
              <w:rPr>
                <w:rFonts w:ascii="Arial" w:hAnsi="Arial" w:cs="Arial"/>
                <w:sz w:val="20"/>
                <w:szCs w:val="20"/>
              </w:rPr>
            </w:pPr>
          </w:p>
          <w:p w14:paraId="35A79FAD" w14:textId="77777777" w:rsidR="00910AA0" w:rsidRPr="00910AA0" w:rsidRDefault="00910AA0" w:rsidP="00E80920">
            <w:pPr>
              <w:pStyle w:val="ListParagraph"/>
              <w:ind w:left="0"/>
              <w:rPr>
                <w:rFonts w:ascii="Arial" w:hAnsi="Arial" w:cs="Arial"/>
                <w:sz w:val="22"/>
                <w:szCs w:val="22"/>
              </w:rPr>
            </w:pPr>
          </w:p>
        </w:tc>
        <w:tc>
          <w:tcPr>
            <w:tcW w:w="992" w:type="dxa"/>
            <w:tcBorders>
              <w:bottom w:val="single" w:sz="4" w:space="0" w:color="auto"/>
            </w:tcBorders>
            <w:shd w:val="clear" w:color="auto" w:fill="00B050"/>
          </w:tcPr>
          <w:p w14:paraId="7AA56D96" w14:textId="77777777" w:rsidR="00910AA0" w:rsidRDefault="00910AA0" w:rsidP="00910AA0">
            <w:pPr>
              <w:pStyle w:val="ListParagraph"/>
              <w:ind w:left="0"/>
              <w:jc w:val="center"/>
              <w:rPr>
                <w:rFonts w:ascii="Arial" w:hAnsi="Arial" w:cs="Arial"/>
                <w:sz w:val="20"/>
                <w:szCs w:val="20"/>
              </w:rPr>
            </w:pPr>
          </w:p>
          <w:p w14:paraId="376A071B" w14:textId="77777777" w:rsidR="00910AA0" w:rsidRDefault="00910AA0" w:rsidP="00910AA0">
            <w:pPr>
              <w:pStyle w:val="ListParagraph"/>
              <w:ind w:left="0"/>
              <w:jc w:val="center"/>
              <w:rPr>
                <w:rFonts w:ascii="Arial" w:hAnsi="Arial" w:cs="Arial"/>
                <w:sz w:val="20"/>
                <w:szCs w:val="20"/>
              </w:rPr>
            </w:pPr>
          </w:p>
          <w:p w14:paraId="799F7B22" w14:textId="77777777" w:rsidR="00910AA0" w:rsidRDefault="00910AA0" w:rsidP="00910AA0">
            <w:pPr>
              <w:pStyle w:val="ListParagraph"/>
              <w:ind w:left="0"/>
              <w:jc w:val="center"/>
              <w:rPr>
                <w:rFonts w:ascii="Arial" w:hAnsi="Arial" w:cs="Arial"/>
                <w:sz w:val="20"/>
                <w:szCs w:val="20"/>
              </w:rPr>
            </w:pPr>
          </w:p>
          <w:p w14:paraId="7643CFDE" w14:textId="77777777" w:rsidR="00910AA0" w:rsidRDefault="008B0DF8" w:rsidP="00910AA0">
            <w:pPr>
              <w:pStyle w:val="ListParagraph"/>
              <w:ind w:left="0"/>
              <w:jc w:val="center"/>
              <w:rPr>
                <w:rFonts w:ascii="Arial" w:hAnsi="Arial" w:cs="Arial"/>
                <w:sz w:val="20"/>
                <w:szCs w:val="20"/>
              </w:rPr>
            </w:pPr>
            <w:r>
              <w:rPr>
                <w:rFonts w:ascii="Arial" w:hAnsi="Arial" w:cs="Arial"/>
                <w:sz w:val="20"/>
                <w:szCs w:val="20"/>
              </w:rPr>
              <w:t>G</w:t>
            </w:r>
          </w:p>
        </w:tc>
      </w:tr>
      <w:tr w:rsidR="00910AA0" w:rsidRPr="00201FAC" w14:paraId="682B8BF0" w14:textId="77777777" w:rsidTr="005E52B4">
        <w:trPr>
          <w:trHeight w:val="1571"/>
        </w:trPr>
        <w:tc>
          <w:tcPr>
            <w:tcW w:w="4395" w:type="dxa"/>
            <w:vMerge/>
          </w:tcPr>
          <w:p w14:paraId="34DFBB0C" w14:textId="77777777" w:rsidR="00910AA0" w:rsidRPr="00411A10" w:rsidRDefault="00910AA0" w:rsidP="00910AA0">
            <w:pPr>
              <w:pStyle w:val="ListParagraph"/>
              <w:ind w:left="0"/>
              <w:rPr>
                <w:rFonts w:ascii="Arial" w:hAnsi="Arial" w:cs="Arial"/>
                <w:b/>
                <w:color w:val="943634" w:themeColor="accent2" w:themeShade="BF"/>
                <w:sz w:val="22"/>
                <w:szCs w:val="22"/>
              </w:rPr>
            </w:pPr>
          </w:p>
        </w:tc>
        <w:tc>
          <w:tcPr>
            <w:tcW w:w="4140" w:type="dxa"/>
          </w:tcPr>
          <w:p w14:paraId="06178B89" w14:textId="77777777" w:rsidR="00910AA0" w:rsidRDefault="00910AA0" w:rsidP="00910AA0">
            <w:pPr>
              <w:rPr>
                <w:rFonts w:ascii="Arial" w:hAnsi="Arial" w:cs="Arial"/>
                <w:sz w:val="22"/>
                <w:szCs w:val="22"/>
              </w:rPr>
            </w:pPr>
            <w:r>
              <w:rPr>
                <w:rFonts w:ascii="Arial" w:hAnsi="Arial" w:cs="Arial"/>
                <w:sz w:val="22"/>
                <w:szCs w:val="22"/>
              </w:rPr>
              <w:t xml:space="preserve">Refresh and update the SAB Information Sharing </w:t>
            </w:r>
            <w:r w:rsidR="005E52B4">
              <w:rPr>
                <w:rFonts w:ascii="Arial" w:hAnsi="Arial" w:cs="Arial"/>
                <w:sz w:val="22"/>
                <w:szCs w:val="22"/>
              </w:rPr>
              <w:t xml:space="preserve">Guide and </w:t>
            </w:r>
            <w:r>
              <w:rPr>
                <w:rFonts w:ascii="Arial" w:hAnsi="Arial" w:cs="Arial"/>
                <w:sz w:val="22"/>
                <w:szCs w:val="22"/>
              </w:rPr>
              <w:t xml:space="preserve">Protocol to include direct reference to these good practice principles. </w:t>
            </w:r>
          </w:p>
        </w:tc>
        <w:tc>
          <w:tcPr>
            <w:tcW w:w="1389" w:type="dxa"/>
          </w:tcPr>
          <w:p w14:paraId="5050C7E2" w14:textId="77777777" w:rsidR="00910AA0" w:rsidRDefault="00F00126" w:rsidP="00910AA0">
            <w:pPr>
              <w:pStyle w:val="ListParagraph"/>
              <w:ind w:left="0"/>
              <w:rPr>
                <w:rFonts w:ascii="Arial" w:hAnsi="Arial" w:cs="Arial"/>
                <w:sz w:val="22"/>
                <w:szCs w:val="22"/>
              </w:rPr>
            </w:pPr>
            <w:r>
              <w:rPr>
                <w:rFonts w:ascii="Arial" w:hAnsi="Arial" w:cs="Arial"/>
                <w:sz w:val="22"/>
                <w:szCs w:val="22"/>
              </w:rPr>
              <w:t>April</w:t>
            </w:r>
            <w:r w:rsidR="00910AA0">
              <w:rPr>
                <w:rFonts w:ascii="Arial" w:hAnsi="Arial" w:cs="Arial"/>
                <w:sz w:val="22"/>
                <w:szCs w:val="22"/>
              </w:rPr>
              <w:t xml:space="preserve"> 2020</w:t>
            </w:r>
          </w:p>
          <w:p w14:paraId="4610FD05" w14:textId="77777777" w:rsidR="00910AA0" w:rsidRDefault="00910AA0" w:rsidP="00910AA0">
            <w:pPr>
              <w:pStyle w:val="ListParagraph"/>
              <w:ind w:left="0"/>
              <w:rPr>
                <w:rFonts w:ascii="Arial" w:hAnsi="Arial" w:cs="Arial"/>
                <w:sz w:val="22"/>
                <w:szCs w:val="22"/>
              </w:rPr>
            </w:pPr>
          </w:p>
          <w:p w14:paraId="14C79371" w14:textId="77777777" w:rsidR="00910AA0" w:rsidRDefault="00910AA0" w:rsidP="00B641A3">
            <w:pPr>
              <w:pStyle w:val="ListParagraph"/>
              <w:ind w:left="0"/>
              <w:rPr>
                <w:rFonts w:ascii="Arial" w:hAnsi="Arial" w:cs="Arial"/>
                <w:sz w:val="22"/>
                <w:szCs w:val="22"/>
              </w:rPr>
            </w:pPr>
          </w:p>
        </w:tc>
        <w:tc>
          <w:tcPr>
            <w:tcW w:w="1559" w:type="dxa"/>
          </w:tcPr>
          <w:p w14:paraId="47701BBC" w14:textId="77777777" w:rsidR="00910AA0" w:rsidRDefault="00910AA0" w:rsidP="00910AA0">
            <w:pPr>
              <w:pStyle w:val="ListParagraph"/>
              <w:ind w:left="0"/>
              <w:rPr>
                <w:rFonts w:ascii="Arial" w:hAnsi="Arial" w:cs="Arial"/>
                <w:sz w:val="22"/>
                <w:szCs w:val="22"/>
              </w:rPr>
            </w:pPr>
            <w:r>
              <w:rPr>
                <w:rFonts w:ascii="Arial" w:hAnsi="Arial" w:cs="Arial"/>
                <w:sz w:val="22"/>
                <w:szCs w:val="22"/>
              </w:rPr>
              <w:t>PQA Subgroup / SAB Development Manager</w:t>
            </w:r>
          </w:p>
          <w:p w14:paraId="32E4D24A" w14:textId="77777777" w:rsidR="00910AA0" w:rsidRDefault="00910AA0" w:rsidP="00910AA0">
            <w:pPr>
              <w:pStyle w:val="ListParagraph"/>
              <w:ind w:left="0"/>
              <w:rPr>
                <w:rFonts w:ascii="Arial" w:hAnsi="Arial" w:cs="Arial"/>
                <w:sz w:val="22"/>
                <w:szCs w:val="22"/>
              </w:rPr>
            </w:pPr>
          </w:p>
        </w:tc>
        <w:tc>
          <w:tcPr>
            <w:tcW w:w="2693" w:type="dxa"/>
          </w:tcPr>
          <w:p w14:paraId="0F64364E" w14:textId="77777777" w:rsidR="00BB455F" w:rsidRDefault="00BB455F" w:rsidP="008B0DF8">
            <w:pPr>
              <w:pStyle w:val="ListParagraph"/>
              <w:ind w:left="0"/>
              <w:rPr>
                <w:rFonts w:ascii="Arial" w:hAnsi="Arial" w:cs="Arial"/>
                <w:sz w:val="22"/>
                <w:szCs w:val="22"/>
              </w:rPr>
            </w:pPr>
            <w:r>
              <w:rPr>
                <w:rFonts w:ascii="Arial" w:hAnsi="Arial" w:cs="Arial"/>
                <w:sz w:val="22"/>
                <w:szCs w:val="22"/>
              </w:rPr>
              <w:t>East Sussex Information Sharing Guide and Protocol p</w:t>
            </w:r>
            <w:r w:rsidR="005E52B4">
              <w:rPr>
                <w:rFonts w:ascii="Arial" w:hAnsi="Arial" w:cs="Arial"/>
                <w:sz w:val="22"/>
                <w:szCs w:val="22"/>
              </w:rPr>
              <w:t>ublished on 24/03/2020</w:t>
            </w:r>
            <w:r w:rsidR="00F00126">
              <w:rPr>
                <w:rFonts w:ascii="Arial" w:hAnsi="Arial" w:cs="Arial"/>
                <w:sz w:val="22"/>
                <w:szCs w:val="22"/>
              </w:rPr>
              <w:t xml:space="preserve">. </w:t>
            </w:r>
            <w:r w:rsidR="005E52B4">
              <w:rPr>
                <w:rFonts w:ascii="Arial" w:hAnsi="Arial" w:cs="Arial"/>
                <w:sz w:val="22"/>
                <w:szCs w:val="22"/>
              </w:rPr>
              <w:t xml:space="preserve">  </w:t>
            </w:r>
          </w:p>
          <w:p w14:paraId="12840483" w14:textId="77777777" w:rsidR="00BB455F" w:rsidRDefault="00BB455F" w:rsidP="008B0DF8">
            <w:pPr>
              <w:pStyle w:val="ListParagraph"/>
              <w:ind w:left="0"/>
              <w:rPr>
                <w:rFonts w:ascii="Arial" w:hAnsi="Arial" w:cs="Arial"/>
                <w:sz w:val="22"/>
                <w:szCs w:val="22"/>
              </w:rPr>
            </w:pPr>
          </w:p>
          <w:p w14:paraId="6DADD593" w14:textId="182D7BD1" w:rsidR="002C29F8" w:rsidRDefault="005E52B4" w:rsidP="008B0DF8">
            <w:pPr>
              <w:pStyle w:val="ListParagraph"/>
              <w:ind w:left="0"/>
              <w:rPr>
                <w:rFonts w:ascii="Arial" w:hAnsi="Arial" w:cs="Arial"/>
                <w:sz w:val="22"/>
                <w:szCs w:val="22"/>
              </w:rPr>
            </w:pPr>
            <w:r>
              <w:rPr>
                <w:rFonts w:ascii="Arial" w:hAnsi="Arial" w:cs="Arial"/>
                <w:sz w:val="22"/>
                <w:szCs w:val="22"/>
              </w:rPr>
              <w:t xml:space="preserve">Pan-Sussex Information Sharing </w:t>
            </w:r>
            <w:r w:rsidR="00837710">
              <w:rPr>
                <w:rFonts w:ascii="Arial" w:hAnsi="Arial" w:cs="Arial"/>
                <w:sz w:val="22"/>
                <w:szCs w:val="22"/>
              </w:rPr>
              <w:t xml:space="preserve">Guide and </w:t>
            </w:r>
            <w:r>
              <w:rPr>
                <w:rFonts w:ascii="Arial" w:hAnsi="Arial" w:cs="Arial"/>
                <w:sz w:val="22"/>
                <w:szCs w:val="22"/>
              </w:rPr>
              <w:t xml:space="preserve">Protocol </w:t>
            </w:r>
            <w:r w:rsidR="00586390">
              <w:rPr>
                <w:rFonts w:ascii="Arial" w:hAnsi="Arial" w:cs="Arial"/>
                <w:sz w:val="22"/>
                <w:szCs w:val="22"/>
              </w:rPr>
              <w:t>p</w:t>
            </w:r>
            <w:r w:rsidR="00837710">
              <w:rPr>
                <w:rFonts w:ascii="Arial" w:hAnsi="Arial" w:cs="Arial"/>
                <w:sz w:val="22"/>
                <w:szCs w:val="22"/>
              </w:rPr>
              <w:t>ublished on 24/08/</w:t>
            </w:r>
            <w:r w:rsidR="00586390">
              <w:rPr>
                <w:rFonts w:ascii="Arial" w:hAnsi="Arial" w:cs="Arial"/>
                <w:sz w:val="22"/>
                <w:szCs w:val="22"/>
              </w:rPr>
              <w:t>2020</w:t>
            </w:r>
            <w:r w:rsidR="00957FA9">
              <w:rPr>
                <w:rFonts w:ascii="Arial" w:hAnsi="Arial" w:cs="Arial"/>
                <w:sz w:val="22"/>
                <w:szCs w:val="22"/>
              </w:rPr>
              <w:t>.</w:t>
            </w:r>
          </w:p>
          <w:p w14:paraId="40E76D40" w14:textId="77777777" w:rsidR="00F00126" w:rsidRPr="00647BA5" w:rsidRDefault="00F00126" w:rsidP="008B0DF8">
            <w:pPr>
              <w:pStyle w:val="ListParagraph"/>
              <w:ind w:left="0"/>
              <w:rPr>
                <w:rFonts w:ascii="Arial" w:hAnsi="Arial" w:cs="Arial"/>
                <w:sz w:val="22"/>
                <w:szCs w:val="22"/>
              </w:rPr>
            </w:pPr>
          </w:p>
        </w:tc>
        <w:tc>
          <w:tcPr>
            <w:tcW w:w="992" w:type="dxa"/>
            <w:tcBorders>
              <w:bottom w:val="single" w:sz="4" w:space="0" w:color="auto"/>
            </w:tcBorders>
            <w:shd w:val="clear" w:color="auto" w:fill="00B050"/>
          </w:tcPr>
          <w:p w14:paraId="09570C0A" w14:textId="77777777" w:rsidR="00910AA0" w:rsidRDefault="00910AA0" w:rsidP="00910AA0">
            <w:pPr>
              <w:pStyle w:val="ListParagraph"/>
              <w:ind w:left="0"/>
              <w:jc w:val="center"/>
              <w:rPr>
                <w:rFonts w:ascii="Arial" w:hAnsi="Arial" w:cs="Arial"/>
                <w:sz w:val="20"/>
                <w:szCs w:val="20"/>
              </w:rPr>
            </w:pPr>
          </w:p>
          <w:p w14:paraId="6B75A2AA" w14:textId="77777777" w:rsidR="00910AA0" w:rsidRDefault="00910AA0" w:rsidP="00910AA0">
            <w:pPr>
              <w:pStyle w:val="ListParagraph"/>
              <w:ind w:left="0"/>
              <w:jc w:val="center"/>
              <w:rPr>
                <w:rFonts w:ascii="Arial" w:hAnsi="Arial" w:cs="Arial"/>
                <w:sz w:val="20"/>
                <w:szCs w:val="20"/>
              </w:rPr>
            </w:pPr>
          </w:p>
          <w:p w14:paraId="1AEE3518" w14:textId="77777777" w:rsidR="00910AA0" w:rsidRDefault="00910AA0" w:rsidP="00910AA0">
            <w:pPr>
              <w:pStyle w:val="ListParagraph"/>
              <w:ind w:left="0"/>
              <w:jc w:val="center"/>
              <w:rPr>
                <w:rFonts w:ascii="Arial" w:hAnsi="Arial" w:cs="Arial"/>
                <w:sz w:val="20"/>
                <w:szCs w:val="20"/>
              </w:rPr>
            </w:pPr>
          </w:p>
          <w:p w14:paraId="3F778B66" w14:textId="77777777" w:rsidR="00910AA0" w:rsidRDefault="005E52B4" w:rsidP="00910AA0">
            <w:pPr>
              <w:pStyle w:val="ListParagraph"/>
              <w:ind w:left="0"/>
              <w:jc w:val="center"/>
              <w:rPr>
                <w:rFonts w:ascii="Arial" w:hAnsi="Arial" w:cs="Arial"/>
                <w:sz w:val="20"/>
                <w:szCs w:val="20"/>
              </w:rPr>
            </w:pPr>
            <w:r>
              <w:rPr>
                <w:rFonts w:ascii="Arial" w:hAnsi="Arial" w:cs="Arial"/>
                <w:sz w:val="20"/>
                <w:szCs w:val="20"/>
              </w:rPr>
              <w:t>G</w:t>
            </w:r>
          </w:p>
        </w:tc>
      </w:tr>
      <w:tr w:rsidR="00015018" w:rsidRPr="00201FAC" w14:paraId="521B48AE" w14:textId="77777777" w:rsidTr="00140523">
        <w:trPr>
          <w:trHeight w:val="1712"/>
        </w:trPr>
        <w:tc>
          <w:tcPr>
            <w:tcW w:w="4395" w:type="dxa"/>
            <w:vMerge/>
          </w:tcPr>
          <w:p w14:paraId="69A465C1" w14:textId="77777777" w:rsidR="00015018" w:rsidRPr="00411A10" w:rsidRDefault="00015018" w:rsidP="00910AA0">
            <w:pPr>
              <w:pStyle w:val="ListParagraph"/>
              <w:ind w:left="0"/>
              <w:rPr>
                <w:rFonts w:ascii="Arial" w:hAnsi="Arial" w:cs="Arial"/>
                <w:b/>
                <w:color w:val="943634" w:themeColor="accent2" w:themeShade="BF"/>
                <w:sz w:val="22"/>
                <w:szCs w:val="22"/>
              </w:rPr>
            </w:pPr>
          </w:p>
        </w:tc>
        <w:tc>
          <w:tcPr>
            <w:tcW w:w="4140" w:type="dxa"/>
          </w:tcPr>
          <w:p w14:paraId="62E088B5" w14:textId="77777777" w:rsidR="00015018" w:rsidRDefault="00015018" w:rsidP="00910AA0">
            <w:pPr>
              <w:rPr>
                <w:rFonts w:ascii="Arial" w:hAnsi="Arial" w:cs="Arial"/>
                <w:sz w:val="22"/>
                <w:szCs w:val="22"/>
              </w:rPr>
            </w:pPr>
            <w:r>
              <w:rPr>
                <w:rFonts w:ascii="Arial" w:hAnsi="Arial" w:cs="Arial"/>
                <w:sz w:val="22"/>
                <w:szCs w:val="22"/>
              </w:rPr>
              <w:t xml:space="preserve">Conduct a sample audit of cases in relation to multi-agency involvement in the safeguarding process.  </w:t>
            </w:r>
          </w:p>
        </w:tc>
        <w:tc>
          <w:tcPr>
            <w:tcW w:w="1389" w:type="dxa"/>
          </w:tcPr>
          <w:p w14:paraId="5AE981A9" w14:textId="77777777" w:rsidR="00015018" w:rsidRDefault="00957FA9" w:rsidP="00910AA0">
            <w:pPr>
              <w:pStyle w:val="ListParagraph"/>
              <w:ind w:left="0"/>
              <w:rPr>
                <w:rFonts w:ascii="Arial" w:hAnsi="Arial" w:cs="Arial"/>
                <w:sz w:val="22"/>
                <w:szCs w:val="22"/>
              </w:rPr>
            </w:pPr>
            <w:r>
              <w:rPr>
                <w:rFonts w:ascii="Arial" w:hAnsi="Arial" w:cs="Arial"/>
                <w:sz w:val="22"/>
                <w:szCs w:val="22"/>
              </w:rPr>
              <w:t xml:space="preserve">August </w:t>
            </w:r>
            <w:r w:rsidR="00015018">
              <w:rPr>
                <w:rFonts w:ascii="Arial" w:hAnsi="Arial" w:cs="Arial"/>
                <w:sz w:val="22"/>
                <w:szCs w:val="22"/>
              </w:rPr>
              <w:t>2020</w:t>
            </w:r>
          </w:p>
        </w:tc>
        <w:tc>
          <w:tcPr>
            <w:tcW w:w="1559" w:type="dxa"/>
          </w:tcPr>
          <w:p w14:paraId="4B201E8A" w14:textId="77777777" w:rsidR="00015018" w:rsidRDefault="00015018" w:rsidP="00910AA0">
            <w:pPr>
              <w:pStyle w:val="ListParagraph"/>
              <w:ind w:left="0"/>
              <w:rPr>
                <w:rFonts w:ascii="Arial" w:hAnsi="Arial" w:cs="Arial"/>
                <w:sz w:val="22"/>
                <w:szCs w:val="22"/>
              </w:rPr>
            </w:pPr>
            <w:r>
              <w:rPr>
                <w:rFonts w:ascii="Arial" w:hAnsi="Arial" w:cs="Arial"/>
                <w:sz w:val="22"/>
                <w:szCs w:val="22"/>
              </w:rPr>
              <w:t>PQA Subgroup</w:t>
            </w:r>
          </w:p>
        </w:tc>
        <w:tc>
          <w:tcPr>
            <w:tcW w:w="2693" w:type="dxa"/>
          </w:tcPr>
          <w:p w14:paraId="2A406E6C" w14:textId="77777777" w:rsidR="00957FA9" w:rsidRDefault="008B0DF8" w:rsidP="005E52B4">
            <w:pPr>
              <w:pStyle w:val="ListParagraph"/>
              <w:ind w:left="0"/>
              <w:rPr>
                <w:rFonts w:ascii="Arial" w:hAnsi="Arial" w:cs="Arial"/>
                <w:sz w:val="22"/>
                <w:szCs w:val="22"/>
              </w:rPr>
            </w:pPr>
            <w:r>
              <w:rPr>
                <w:rFonts w:ascii="Arial" w:hAnsi="Arial" w:cs="Arial"/>
                <w:sz w:val="22"/>
                <w:szCs w:val="22"/>
              </w:rPr>
              <w:t xml:space="preserve">Joint multi-agency audit meeting between East Sussex and Brighton &amp; Hove SABs held on 07/02/2020.  </w:t>
            </w:r>
          </w:p>
          <w:p w14:paraId="04D8FA5B" w14:textId="77777777" w:rsidR="00957FA9" w:rsidRDefault="00957FA9" w:rsidP="005E52B4">
            <w:pPr>
              <w:pStyle w:val="ListParagraph"/>
              <w:ind w:left="0"/>
              <w:rPr>
                <w:rFonts w:ascii="Arial" w:hAnsi="Arial" w:cs="Arial"/>
                <w:sz w:val="22"/>
                <w:szCs w:val="22"/>
              </w:rPr>
            </w:pPr>
          </w:p>
          <w:p w14:paraId="723A49B5" w14:textId="174F3454" w:rsidR="00837710" w:rsidRDefault="008B0DF8" w:rsidP="00586390">
            <w:pPr>
              <w:pStyle w:val="ListParagraph"/>
              <w:ind w:left="0"/>
              <w:rPr>
                <w:rFonts w:ascii="Arial" w:hAnsi="Arial" w:cs="Arial"/>
                <w:sz w:val="22"/>
                <w:szCs w:val="22"/>
              </w:rPr>
            </w:pPr>
            <w:r>
              <w:rPr>
                <w:rFonts w:ascii="Arial" w:hAnsi="Arial" w:cs="Arial"/>
                <w:sz w:val="22"/>
                <w:szCs w:val="22"/>
              </w:rPr>
              <w:t>Report</w:t>
            </w:r>
            <w:r w:rsidR="00837710">
              <w:rPr>
                <w:rFonts w:ascii="Arial" w:hAnsi="Arial" w:cs="Arial"/>
                <w:sz w:val="22"/>
                <w:szCs w:val="22"/>
              </w:rPr>
              <w:t xml:space="preserve"> agreed by </w:t>
            </w:r>
            <w:r w:rsidR="00586390">
              <w:rPr>
                <w:rFonts w:ascii="Arial" w:hAnsi="Arial" w:cs="Arial"/>
                <w:sz w:val="22"/>
                <w:szCs w:val="22"/>
              </w:rPr>
              <w:t xml:space="preserve">PQA subgroup </w:t>
            </w:r>
            <w:r w:rsidR="00837710">
              <w:rPr>
                <w:rFonts w:ascii="Arial" w:hAnsi="Arial" w:cs="Arial"/>
                <w:sz w:val="22"/>
                <w:szCs w:val="22"/>
              </w:rPr>
              <w:t xml:space="preserve">on 18/08/2020.  Action plan </w:t>
            </w:r>
            <w:r w:rsidR="00DE39A5">
              <w:rPr>
                <w:rFonts w:ascii="Arial" w:hAnsi="Arial" w:cs="Arial"/>
                <w:sz w:val="22"/>
                <w:szCs w:val="22"/>
              </w:rPr>
              <w:t>in place</w:t>
            </w:r>
            <w:r w:rsidR="00837710">
              <w:rPr>
                <w:rFonts w:ascii="Arial" w:hAnsi="Arial" w:cs="Arial"/>
                <w:sz w:val="22"/>
                <w:szCs w:val="22"/>
              </w:rPr>
              <w:t>.</w:t>
            </w:r>
          </w:p>
          <w:p w14:paraId="46925232" w14:textId="27E0B2DB" w:rsidR="00957FA9" w:rsidRDefault="00837710" w:rsidP="00586390">
            <w:pPr>
              <w:pStyle w:val="ListParagraph"/>
              <w:ind w:left="0"/>
              <w:rPr>
                <w:rFonts w:ascii="Arial" w:hAnsi="Arial" w:cs="Arial"/>
                <w:sz w:val="22"/>
                <w:szCs w:val="22"/>
              </w:rPr>
            </w:pPr>
            <w:r>
              <w:rPr>
                <w:rFonts w:ascii="Arial" w:hAnsi="Arial" w:cs="Arial"/>
                <w:sz w:val="22"/>
                <w:szCs w:val="22"/>
              </w:rPr>
              <w:t xml:space="preserve">  </w:t>
            </w:r>
            <w:r w:rsidR="00957FA9">
              <w:rPr>
                <w:rFonts w:ascii="Arial" w:hAnsi="Arial" w:cs="Arial"/>
                <w:sz w:val="22"/>
                <w:szCs w:val="22"/>
              </w:rPr>
              <w:t xml:space="preserve">  </w:t>
            </w:r>
          </w:p>
        </w:tc>
        <w:tc>
          <w:tcPr>
            <w:tcW w:w="992" w:type="dxa"/>
            <w:tcBorders>
              <w:bottom w:val="single" w:sz="4" w:space="0" w:color="auto"/>
            </w:tcBorders>
            <w:shd w:val="clear" w:color="auto" w:fill="00B050"/>
          </w:tcPr>
          <w:p w14:paraId="766831F6" w14:textId="77777777" w:rsidR="00015018" w:rsidRDefault="00015018" w:rsidP="00910AA0">
            <w:pPr>
              <w:pStyle w:val="ListParagraph"/>
              <w:ind w:left="0"/>
              <w:jc w:val="center"/>
              <w:rPr>
                <w:rFonts w:ascii="Arial" w:hAnsi="Arial" w:cs="Arial"/>
                <w:sz w:val="22"/>
                <w:szCs w:val="22"/>
              </w:rPr>
            </w:pPr>
          </w:p>
          <w:p w14:paraId="1651967E" w14:textId="77777777" w:rsidR="00F00126" w:rsidRDefault="00F00126" w:rsidP="00910AA0">
            <w:pPr>
              <w:pStyle w:val="ListParagraph"/>
              <w:ind w:left="0"/>
              <w:jc w:val="center"/>
              <w:rPr>
                <w:rFonts w:ascii="Arial" w:hAnsi="Arial" w:cs="Arial"/>
                <w:sz w:val="22"/>
                <w:szCs w:val="22"/>
              </w:rPr>
            </w:pPr>
          </w:p>
          <w:p w14:paraId="53071772" w14:textId="0B01074D" w:rsidR="00F00126" w:rsidRPr="00F00126" w:rsidRDefault="00140523" w:rsidP="00910AA0">
            <w:pPr>
              <w:pStyle w:val="ListParagraph"/>
              <w:ind w:left="0"/>
              <w:jc w:val="center"/>
              <w:rPr>
                <w:rFonts w:ascii="Arial" w:hAnsi="Arial" w:cs="Arial"/>
                <w:sz w:val="20"/>
                <w:szCs w:val="20"/>
              </w:rPr>
            </w:pPr>
            <w:r>
              <w:rPr>
                <w:rFonts w:ascii="Arial" w:hAnsi="Arial" w:cs="Arial"/>
                <w:sz w:val="20"/>
                <w:szCs w:val="20"/>
              </w:rPr>
              <w:t>G</w:t>
            </w:r>
          </w:p>
        </w:tc>
      </w:tr>
      <w:tr w:rsidR="00586390" w:rsidRPr="00201FAC" w14:paraId="18506616" w14:textId="77777777" w:rsidTr="00854319">
        <w:trPr>
          <w:trHeight w:val="1712"/>
        </w:trPr>
        <w:tc>
          <w:tcPr>
            <w:tcW w:w="4395" w:type="dxa"/>
            <w:vMerge/>
          </w:tcPr>
          <w:p w14:paraId="7BC013FF" w14:textId="77777777" w:rsidR="00586390" w:rsidRPr="00411A10" w:rsidRDefault="00586390" w:rsidP="00586390">
            <w:pPr>
              <w:pStyle w:val="ListParagraph"/>
              <w:ind w:left="0"/>
              <w:rPr>
                <w:rFonts w:ascii="Arial" w:hAnsi="Arial" w:cs="Arial"/>
                <w:b/>
                <w:color w:val="943634" w:themeColor="accent2" w:themeShade="BF"/>
                <w:sz w:val="22"/>
                <w:szCs w:val="22"/>
              </w:rPr>
            </w:pPr>
          </w:p>
        </w:tc>
        <w:tc>
          <w:tcPr>
            <w:tcW w:w="4140" w:type="dxa"/>
          </w:tcPr>
          <w:p w14:paraId="12CC2735" w14:textId="77777777" w:rsidR="00586390" w:rsidRDefault="00586390" w:rsidP="00586390">
            <w:pPr>
              <w:rPr>
                <w:rFonts w:ascii="Arial" w:hAnsi="Arial" w:cs="Arial"/>
                <w:sz w:val="22"/>
                <w:szCs w:val="22"/>
              </w:rPr>
            </w:pPr>
            <w:r>
              <w:rPr>
                <w:rFonts w:ascii="Arial" w:hAnsi="Arial" w:cs="Arial"/>
                <w:sz w:val="22"/>
                <w:szCs w:val="22"/>
              </w:rPr>
              <w:t>Review and strengthen multi-agency mechanisms that ensure appropriate invitation and representation at safeguarding meetings, including information sharing where attendance at meetings is not confirmed.</w:t>
            </w:r>
          </w:p>
          <w:p w14:paraId="3D08E29D" w14:textId="77777777" w:rsidR="00586390" w:rsidRDefault="00586390" w:rsidP="00586390">
            <w:pPr>
              <w:rPr>
                <w:rFonts w:ascii="Arial" w:hAnsi="Arial" w:cs="Arial"/>
                <w:sz w:val="22"/>
                <w:szCs w:val="22"/>
              </w:rPr>
            </w:pPr>
          </w:p>
        </w:tc>
        <w:tc>
          <w:tcPr>
            <w:tcW w:w="1389" w:type="dxa"/>
          </w:tcPr>
          <w:p w14:paraId="18EA6A05" w14:textId="77777777" w:rsidR="00586390" w:rsidRDefault="00586390" w:rsidP="00586390">
            <w:pPr>
              <w:pStyle w:val="ListParagraph"/>
              <w:ind w:left="0"/>
              <w:rPr>
                <w:rFonts w:ascii="Arial" w:hAnsi="Arial" w:cs="Arial"/>
                <w:sz w:val="22"/>
                <w:szCs w:val="22"/>
              </w:rPr>
            </w:pPr>
            <w:r>
              <w:rPr>
                <w:rFonts w:ascii="Arial" w:hAnsi="Arial" w:cs="Arial"/>
                <w:sz w:val="22"/>
                <w:szCs w:val="22"/>
              </w:rPr>
              <w:t>September 2020</w:t>
            </w:r>
          </w:p>
          <w:p w14:paraId="73F1F224" w14:textId="77777777" w:rsidR="00586390" w:rsidRPr="00BB2C10" w:rsidRDefault="00586390" w:rsidP="00586390">
            <w:pPr>
              <w:pStyle w:val="ListParagraph"/>
              <w:ind w:left="0"/>
              <w:rPr>
                <w:rFonts w:ascii="Arial" w:hAnsi="Arial" w:cs="Arial"/>
                <w:sz w:val="22"/>
                <w:szCs w:val="22"/>
              </w:rPr>
            </w:pPr>
          </w:p>
        </w:tc>
        <w:tc>
          <w:tcPr>
            <w:tcW w:w="1559" w:type="dxa"/>
          </w:tcPr>
          <w:p w14:paraId="23E3555A" w14:textId="77777777" w:rsidR="00586390" w:rsidRDefault="00586390" w:rsidP="00586390">
            <w:pPr>
              <w:pStyle w:val="ListParagraph"/>
              <w:ind w:left="0"/>
              <w:rPr>
                <w:rFonts w:ascii="Arial" w:hAnsi="Arial" w:cs="Arial"/>
                <w:sz w:val="22"/>
                <w:szCs w:val="22"/>
              </w:rPr>
            </w:pPr>
            <w:r>
              <w:rPr>
                <w:rFonts w:ascii="Arial" w:hAnsi="Arial" w:cs="Arial"/>
                <w:sz w:val="22"/>
                <w:szCs w:val="22"/>
              </w:rPr>
              <w:t>OP Subgroup</w:t>
            </w:r>
          </w:p>
        </w:tc>
        <w:tc>
          <w:tcPr>
            <w:tcW w:w="2693" w:type="dxa"/>
          </w:tcPr>
          <w:p w14:paraId="634E245A" w14:textId="1AB6D4E7" w:rsidR="00586390" w:rsidRPr="00586390" w:rsidRDefault="00586390" w:rsidP="00586390">
            <w:pPr>
              <w:rPr>
                <w:rFonts w:ascii="Arial" w:hAnsi="Arial" w:cs="Arial"/>
                <w:sz w:val="22"/>
                <w:szCs w:val="22"/>
              </w:rPr>
            </w:pPr>
            <w:r>
              <w:rPr>
                <w:rFonts w:ascii="Arial" w:hAnsi="Arial" w:cs="Arial"/>
                <w:sz w:val="22"/>
                <w:szCs w:val="22"/>
              </w:rPr>
              <w:t xml:space="preserve">ASCH </w:t>
            </w:r>
            <w:r w:rsidR="00854319">
              <w:rPr>
                <w:rFonts w:ascii="Arial" w:hAnsi="Arial" w:cs="Arial"/>
                <w:sz w:val="22"/>
                <w:szCs w:val="22"/>
              </w:rPr>
              <w:t>have updated safeguarding meeting templates and developed chairing protocol to support</w:t>
            </w:r>
            <w:r w:rsidRPr="00586390">
              <w:rPr>
                <w:rFonts w:ascii="Arial" w:hAnsi="Arial" w:cs="Arial"/>
                <w:sz w:val="22"/>
                <w:szCs w:val="22"/>
              </w:rPr>
              <w:t xml:space="preserve"> the effective coordination </w:t>
            </w:r>
            <w:r w:rsidR="00854319">
              <w:rPr>
                <w:rFonts w:ascii="Arial" w:hAnsi="Arial" w:cs="Arial"/>
                <w:sz w:val="22"/>
                <w:szCs w:val="22"/>
              </w:rPr>
              <w:t xml:space="preserve">and ensure full representation from partner agencies at </w:t>
            </w:r>
            <w:r w:rsidRPr="00586390">
              <w:rPr>
                <w:rFonts w:ascii="Arial" w:hAnsi="Arial" w:cs="Arial"/>
                <w:sz w:val="22"/>
                <w:szCs w:val="22"/>
              </w:rPr>
              <w:t>safeguarding meetings / discussions.</w:t>
            </w:r>
          </w:p>
        </w:tc>
        <w:tc>
          <w:tcPr>
            <w:tcW w:w="992" w:type="dxa"/>
            <w:tcBorders>
              <w:bottom w:val="single" w:sz="4" w:space="0" w:color="auto"/>
            </w:tcBorders>
            <w:shd w:val="clear" w:color="auto" w:fill="00B050"/>
          </w:tcPr>
          <w:p w14:paraId="47D5758C" w14:textId="77777777" w:rsidR="00586390" w:rsidRPr="00647BA5" w:rsidRDefault="00586390" w:rsidP="00586390">
            <w:pPr>
              <w:pStyle w:val="ListParagraph"/>
              <w:ind w:left="0"/>
              <w:jc w:val="center"/>
              <w:rPr>
                <w:rFonts w:ascii="Arial" w:hAnsi="Arial" w:cs="Arial"/>
                <w:sz w:val="22"/>
                <w:szCs w:val="22"/>
              </w:rPr>
            </w:pPr>
          </w:p>
          <w:p w14:paraId="630B686E" w14:textId="77777777" w:rsidR="00586390" w:rsidRPr="00647BA5" w:rsidRDefault="00586390" w:rsidP="00586390">
            <w:pPr>
              <w:pStyle w:val="ListParagraph"/>
              <w:ind w:left="0"/>
              <w:jc w:val="center"/>
              <w:rPr>
                <w:rFonts w:ascii="Arial" w:hAnsi="Arial" w:cs="Arial"/>
                <w:sz w:val="22"/>
                <w:szCs w:val="22"/>
              </w:rPr>
            </w:pPr>
          </w:p>
          <w:p w14:paraId="47B2255E" w14:textId="43097A35" w:rsidR="00586390" w:rsidRPr="00854319" w:rsidRDefault="00854319" w:rsidP="00586390">
            <w:pPr>
              <w:pStyle w:val="ListParagraph"/>
              <w:ind w:left="0"/>
              <w:jc w:val="center"/>
              <w:rPr>
                <w:rFonts w:ascii="Arial" w:hAnsi="Arial" w:cs="Arial"/>
                <w:sz w:val="20"/>
                <w:szCs w:val="20"/>
              </w:rPr>
            </w:pPr>
            <w:r>
              <w:rPr>
                <w:rFonts w:ascii="Arial" w:hAnsi="Arial" w:cs="Arial"/>
                <w:sz w:val="20"/>
                <w:szCs w:val="20"/>
              </w:rPr>
              <w:t>G</w:t>
            </w:r>
          </w:p>
        </w:tc>
      </w:tr>
      <w:tr w:rsidR="00586390" w:rsidRPr="00201FAC" w14:paraId="0AF5388B" w14:textId="77777777" w:rsidTr="00D13DA3">
        <w:trPr>
          <w:trHeight w:val="1712"/>
        </w:trPr>
        <w:tc>
          <w:tcPr>
            <w:tcW w:w="4395" w:type="dxa"/>
            <w:vMerge/>
          </w:tcPr>
          <w:p w14:paraId="5F6912C9" w14:textId="77777777" w:rsidR="00586390" w:rsidRPr="00411A10" w:rsidRDefault="00586390" w:rsidP="00586390">
            <w:pPr>
              <w:pStyle w:val="ListParagraph"/>
              <w:ind w:left="0"/>
              <w:rPr>
                <w:rFonts w:ascii="Arial" w:hAnsi="Arial" w:cs="Arial"/>
                <w:b/>
                <w:color w:val="943634" w:themeColor="accent2" w:themeShade="BF"/>
                <w:sz w:val="22"/>
                <w:szCs w:val="22"/>
              </w:rPr>
            </w:pPr>
          </w:p>
        </w:tc>
        <w:tc>
          <w:tcPr>
            <w:tcW w:w="4140" w:type="dxa"/>
          </w:tcPr>
          <w:p w14:paraId="5D029D15" w14:textId="77777777" w:rsidR="00586390" w:rsidRDefault="00586390" w:rsidP="00586390">
            <w:pPr>
              <w:rPr>
                <w:rFonts w:ascii="Arial" w:hAnsi="Arial" w:cs="Arial"/>
                <w:sz w:val="22"/>
                <w:szCs w:val="22"/>
              </w:rPr>
            </w:pPr>
            <w:r>
              <w:rPr>
                <w:rFonts w:ascii="Arial" w:hAnsi="Arial" w:cs="Arial"/>
                <w:sz w:val="22"/>
                <w:szCs w:val="22"/>
              </w:rPr>
              <w:t xml:space="preserve">Follow up audit of cases to be completed in 12 months’ time to analyse progress and improvements in relation to the multi-agency mechanisms outlined above.  </w:t>
            </w:r>
          </w:p>
        </w:tc>
        <w:tc>
          <w:tcPr>
            <w:tcW w:w="1389" w:type="dxa"/>
          </w:tcPr>
          <w:p w14:paraId="48511654" w14:textId="2110F86E" w:rsidR="00586390" w:rsidRDefault="00A744FD" w:rsidP="00586390">
            <w:pPr>
              <w:pStyle w:val="ListParagraph"/>
              <w:ind w:left="0"/>
              <w:rPr>
                <w:rFonts w:ascii="Arial" w:hAnsi="Arial" w:cs="Arial"/>
                <w:sz w:val="22"/>
                <w:szCs w:val="22"/>
              </w:rPr>
            </w:pPr>
            <w:r>
              <w:rPr>
                <w:rFonts w:ascii="Arial" w:hAnsi="Arial" w:cs="Arial"/>
                <w:sz w:val="22"/>
                <w:szCs w:val="22"/>
              </w:rPr>
              <w:t>June</w:t>
            </w:r>
            <w:r w:rsidR="00E616C4">
              <w:rPr>
                <w:rFonts w:ascii="Arial" w:hAnsi="Arial" w:cs="Arial"/>
                <w:sz w:val="22"/>
                <w:szCs w:val="22"/>
              </w:rPr>
              <w:t xml:space="preserve"> </w:t>
            </w:r>
            <w:r w:rsidR="00586390">
              <w:rPr>
                <w:rFonts w:ascii="Arial" w:hAnsi="Arial" w:cs="Arial"/>
                <w:sz w:val="22"/>
                <w:szCs w:val="22"/>
              </w:rPr>
              <w:t>2021</w:t>
            </w:r>
          </w:p>
        </w:tc>
        <w:tc>
          <w:tcPr>
            <w:tcW w:w="1559" w:type="dxa"/>
          </w:tcPr>
          <w:p w14:paraId="69D27D57" w14:textId="23BDF512" w:rsidR="00586390" w:rsidRDefault="004B1CA6" w:rsidP="00586390">
            <w:pPr>
              <w:pStyle w:val="ListParagraph"/>
              <w:ind w:left="0"/>
              <w:rPr>
                <w:rFonts w:ascii="Arial" w:hAnsi="Arial" w:cs="Arial"/>
                <w:sz w:val="22"/>
                <w:szCs w:val="22"/>
              </w:rPr>
            </w:pPr>
            <w:r>
              <w:rPr>
                <w:rFonts w:ascii="Arial" w:hAnsi="Arial" w:cs="Arial"/>
                <w:sz w:val="22"/>
                <w:szCs w:val="22"/>
              </w:rPr>
              <w:t xml:space="preserve">SDT reporting to </w:t>
            </w:r>
            <w:r w:rsidR="00586390" w:rsidRPr="00910AA0">
              <w:rPr>
                <w:rFonts w:ascii="Arial" w:hAnsi="Arial" w:cs="Arial"/>
                <w:sz w:val="22"/>
                <w:szCs w:val="22"/>
              </w:rPr>
              <w:t>PQA Subgroup</w:t>
            </w:r>
          </w:p>
        </w:tc>
        <w:tc>
          <w:tcPr>
            <w:tcW w:w="2693" w:type="dxa"/>
          </w:tcPr>
          <w:p w14:paraId="6F3D9209" w14:textId="0EFED0B2" w:rsidR="00373CE7" w:rsidRDefault="00D13DA3" w:rsidP="00586390">
            <w:pPr>
              <w:pStyle w:val="ListParagraph"/>
              <w:ind w:left="0"/>
              <w:rPr>
                <w:rFonts w:ascii="Arial" w:hAnsi="Arial" w:cs="Arial"/>
                <w:sz w:val="22"/>
                <w:szCs w:val="22"/>
              </w:rPr>
            </w:pPr>
            <w:r>
              <w:rPr>
                <w:rFonts w:ascii="Arial" w:hAnsi="Arial" w:cs="Arial"/>
                <w:sz w:val="22"/>
                <w:szCs w:val="22"/>
              </w:rPr>
              <w:t>Audit completed and presented to PQA in August</w:t>
            </w:r>
            <w:r w:rsidR="007A11B7">
              <w:rPr>
                <w:rFonts w:ascii="Arial" w:hAnsi="Arial" w:cs="Arial"/>
                <w:sz w:val="22"/>
                <w:szCs w:val="22"/>
              </w:rPr>
              <w:t>.</w:t>
            </w:r>
            <w:r>
              <w:rPr>
                <w:rFonts w:ascii="Arial" w:hAnsi="Arial" w:cs="Arial"/>
                <w:sz w:val="22"/>
                <w:szCs w:val="22"/>
              </w:rPr>
              <w:t xml:space="preserve">  SDT will be taking forward recommendations from this audit for ASCH.</w:t>
            </w:r>
            <w:r w:rsidR="00E616C4">
              <w:rPr>
                <w:rFonts w:ascii="Arial" w:hAnsi="Arial" w:cs="Arial"/>
                <w:sz w:val="22"/>
                <w:szCs w:val="22"/>
              </w:rPr>
              <w:t xml:space="preserve">  </w:t>
            </w:r>
          </w:p>
          <w:p w14:paraId="4B1F50DD" w14:textId="09293DDC" w:rsidR="004B1CA6" w:rsidRPr="00647BA5" w:rsidRDefault="004B1CA6" w:rsidP="00A744FD">
            <w:pPr>
              <w:pStyle w:val="ListParagraph"/>
              <w:ind w:left="0"/>
              <w:rPr>
                <w:rFonts w:ascii="Arial" w:hAnsi="Arial" w:cs="Arial"/>
                <w:sz w:val="22"/>
                <w:szCs w:val="22"/>
              </w:rPr>
            </w:pPr>
          </w:p>
        </w:tc>
        <w:tc>
          <w:tcPr>
            <w:tcW w:w="992" w:type="dxa"/>
            <w:tcBorders>
              <w:bottom w:val="single" w:sz="4" w:space="0" w:color="auto"/>
            </w:tcBorders>
            <w:shd w:val="clear" w:color="auto" w:fill="00B050"/>
          </w:tcPr>
          <w:p w14:paraId="0B6E1B76" w14:textId="77777777" w:rsidR="00586390" w:rsidRDefault="00586390" w:rsidP="00586390">
            <w:pPr>
              <w:pStyle w:val="ListParagraph"/>
              <w:ind w:left="0"/>
              <w:jc w:val="center"/>
              <w:rPr>
                <w:rFonts w:ascii="Arial" w:hAnsi="Arial" w:cs="Arial"/>
                <w:sz w:val="20"/>
                <w:szCs w:val="20"/>
              </w:rPr>
            </w:pPr>
          </w:p>
          <w:p w14:paraId="1A2023EF" w14:textId="77777777" w:rsidR="00586390" w:rsidRDefault="00586390" w:rsidP="00586390">
            <w:pPr>
              <w:pStyle w:val="ListParagraph"/>
              <w:ind w:left="0"/>
              <w:jc w:val="center"/>
              <w:rPr>
                <w:rFonts w:ascii="Arial" w:hAnsi="Arial" w:cs="Arial"/>
                <w:sz w:val="20"/>
                <w:szCs w:val="20"/>
              </w:rPr>
            </w:pPr>
          </w:p>
          <w:p w14:paraId="5E0F45CA" w14:textId="097940B4" w:rsidR="00586390" w:rsidRDefault="00D13DA3" w:rsidP="00586390">
            <w:pPr>
              <w:pStyle w:val="ListParagraph"/>
              <w:ind w:left="0"/>
              <w:jc w:val="center"/>
              <w:rPr>
                <w:rFonts w:ascii="Arial" w:hAnsi="Arial" w:cs="Arial"/>
                <w:sz w:val="20"/>
                <w:szCs w:val="20"/>
              </w:rPr>
            </w:pPr>
            <w:r>
              <w:rPr>
                <w:rFonts w:ascii="Arial" w:hAnsi="Arial" w:cs="Arial"/>
                <w:sz w:val="20"/>
                <w:szCs w:val="20"/>
              </w:rPr>
              <w:t>G</w:t>
            </w:r>
          </w:p>
        </w:tc>
      </w:tr>
      <w:tr w:rsidR="00586390" w:rsidRPr="00201FAC" w14:paraId="7A0817B6" w14:textId="77777777" w:rsidTr="005E52B4">
        <w:trPr>
          <w:trHeight w:val="1712"/>
        </w:trPr>
        <w:tc>
          <w:tcPr>
            <w:tcW w:w="4395" w:type="dxa"/>
            <w:vMerge w:val="restart"/>
          </w:tcPr>
          <w:p w14:paraId="7C86DE05" w14:textId="77777777" w:rsidR="00586390" w:rsidRPr="00411A10" w:rsidRDefault="00586390" w:rsidP="00586390">
            <w:pPr>
              <w:widowControl w:val="0"/>
              <w:autoSpaceDE w:val="0"/>
              <w:autoSpaceDN w:val="0"/>
              <w:adjustRightInd w:val="0"/>
              <w:jc w:val="both"/>
              <w:rPr>
                <w:rFonts w:ascii="Arial" w:hAnsi="Arial" w:cs="Arial"/>
                <w:b/>
                <w:color w:val="943634" w:themeColor="accent2" w:themeShade="BF"/>
                <w:sz w:val="22"/>
                <w:szCs w:val="22"/>
              </w:rPr>
            </w:pPr>
            <w:r w:rsidRPr="00411A10">
              <w:rPr>
                <w:rFonts w:ascii="Arial" w:hAnsi="Arial" w:cs="Arial"/>
                <w:b/>
                <w:color w:val="943634" w:themeColor="accent2" w:themeShade="BF"/>
                <w:sz w:val="22"/>
                <w:szCs w:val="22"/>
              </w:rPr>
              <w:t>Recommendation 3:</w:t>
            </w:r>
          </w:p>
          <w:p w14:paraId="5D00687D" w14:textId="77777777" w:rsidR="00586390" w:rsidRPr="00411A10" w:rsidRDefault="00586390" w:rsidP="00586390">
            <w:pPr>
              <w:widowControl w:val="0"/>
              <w:autoSpaceDE w:val="0"/>
              <w:autoSpaceDN w:val="0"/>
              <w:adjustRightInd w:val="0"/>
              <w:jc w:val="both"/>
              <w:rPr>
                <w:rFonts w:ascii="Arial" w:hAnsi="Arial" w:cs="Arial"/>
                <w:sz w:val="22"/>
                <w:szCs w:val="22"/>
              </w:rPr>
            </w:pPr>
          </w:p>
          <w:p w14:paraId="73B57B38" w14:textId="77777777" w:rsidR="00586390" w:rsidRPr="00411A10" w:rsidRDefault="00586390" w:rsidP="00586390">
            <w:pPr>
              <w:widowControl w:val="0"/>
              <w:autoSpaceDE w:val="0"/>
              <w:autoSpaceDN w:val="0"/>
              <w:adjustRightInd w:val="0"/>
              <w:jc w:val="both"/>
              <w:rPr>
                <w:rFonts w:ascii="Arial" w:hAnsi="Arial" w:cs="Arial"/>
                <w:b/>
                <w:color w:val="943634" w:themeColor="accent2" w:themeShade="BF"/>
                <w:sz w:val="22"/>
                <w:szCs w:val="22"/>
              </w:rPr>
            </w:pPr>
            <w:r w:rsidRPr="007C57B5">
              <w:rPr>
                <w:rFonts w:ascii="Arial" w:hAnsi="Arial" w:cs="Arial"/>
                <w:bCs/>
                <w:sz w:val="22"/>
                <w:szCs w:val="22"/>
              </w:rPr>
              <w:t>The SAB to develop multi-agency workforce development opportunities for practitioners working with complex cases, for example where there is coercion and control, to enable improved confidence in engaging directly with service users and developing greater professional curiosity and more effective safeguarding of vulnerable adults.</w:t>
            </w:r>
          </w:p>
          <w:p w14:paraId="1444FE32" w14:textId="77777777" w:rsidR="00586390" w:rsidRDefault="00586390" w:rsidP="00586390">
            <w:pPr>
              <w:widowControl w:val="0"/>
              <w:autoSpaceDE w:val="0"/>
              <w:autoSpaceDN w:val="0"/>
              <w:adjustRightInd w:val="0"/>
              <w:jc w:val="both"/>
              <w:rPr>
                <w:rFonts w:ascii="Arial" w:hAnsi="Arial" w:cs="Arial"/>
                <w:b/>
                <w:color w:val="943634" w:themeColor="accent2" w:themeShade="BF"/>
                <w:sz w:val="22"/>
                <w:szCs w:val="22"/>
              </w:rPr>
            </w:pPr>
          </w:p>
          <w:p w14:paraId="35D8788A" w14:textId="77777777" w:rsidR="00586390" w:rsidRPr="00411A10" w:rsidRDefault="00586390" w:rsidP="00586390">
            <w:pPr>
              <w:widowControl w:val="0"/>
              <w:autoSpaceDE w:val="0"/>
              <w:autoSpaceDN w:val="0"/>
              <w:adjustRightInd w:val="0"/>
              <w:jc w:val="both"/>
              <w:rPr>
                <w:rFonts w:ascii="Arial" w:hAnsi="Arial" w:cs="Arial"/>
                <w:b/>
                <w:color w:val="943634" w:themeColor="accent2" w:themeShade="BF"/>
                <w:sz w:val="22"/>
                <w:szCs w:val="22"/>
              </w:rPr>
            </w:pPr>
          </w:p>
        </w:tc>
        <w:tc>
          <w:tcPr>
            <w:tcW w:w="4140" w:type="dxa"/>
          </w:tcPr>
          <w:p w14:paraId="4C951EB3" w14:textId="77777777" w:rsidR="00586390" w:rsidRDefault="00586390" w:rsidP="00586390">
            <w:pPr>
              <w:rPr>
                <w:rFonts w:ascii="Arial" w:hAnsi="Arial" w:cs="Arial"/>
                <w:sz w:val="22"/>
                <w:szCs w:val="22"/>
              </w:rPr>
            </w:pPr>
            <w:r>
              <w:rPr>
                <w:rFonts w:ascii="Arial" w:hAnsi="Arial" w:cs="Arial"/>
                <w:sz w:val="22"/>
                <w:szCs w:val="22"/>
              </w:rPr>
              <w:t xml:space="preserve">Continue to promote the 2-day Domestic Abuse training programme delivered on behalf of the SAB, ESSCP and Safer Communities Partnership.  </w:t>
            </w:r>
          </w:p>
          <w:p w14:paraId="0FC78755" w14:textId="77777777" w:rsidR="00586390" w:rsidRDefault="00586390" w:rsidP="00586390">
            <w:pPr>
              <w:rPr>
                <w:rFonts w:ascii="Arial" w:hAnsi="Arial" w:cs="Arial"/>
                <w:sz w:val="22"/>
                <w:szCs w:val="22"/>
              </w:rPr>
            </w:pPr>
          </w:p>
          <w:p w14:paraId="749F743C" w14:textId="77777777" w:rsidR="00586390" w:rsidRDefault="00586390" w:rsidP="00586390">
            <w:pPr>
              <w:rPr>
                <w:rFonts w:ascii="Arial" w:hAnsi="Arial" w:cs="Arial"/>
                <w:sz w:val="22"/>
                <w:szCs w:val="22"/>
              </w:rPr>
            </w:pPr>
            <w:r>
              <w:rPr>
                <w:rFonts w:ascii="Arial" w:hAnsi="Arial" w:cs="Arial"/>
                <w:sz w:val="22"/>
                <w:szCs w:val="22"/>
              </w:rPr>
              <w:t>Deliver multi-agency coercion and control training, which SAB partner agencies will be encouraged to attend.</w:t>
            </w:r>
          </w:p>
        </w:tc>
        <w:tc>
          <w:tcPr>
            <w:tcW w:w="1389" w:type="dxa"/>
          </w:tcPr>
          <w:p w14:paraId="243B1005" w14:textId="77777777" w:rsidR="00586390" w:rsidRDefault="00586390" w:rsidP="00586390">
            <w:pPr>
              <w:pStyle w:val="ListParagraph"/>
              <w:ind w:left="0"/>
              <w:rPr>
                <w:rFonts w:ascii="Arial" w:hAnsi="Arial" w:cs="Arial"/>
                <w:sz w:val="22"/>
                <w:szCs w:val="22"/>
              </w:rPr>
            </w:pPr>
            <w:r>
              <w:rPr>
                <w:rFonts w:ascii="Arial" w:hAnsi="Arial" w:cs="Arial"/>
                <w:sz w:val="22"/>
                <w:szCs w:val="22"/>
              </w:rPr>
              <w:t>October 2019</w:t>
            </w:r>
          </w:p>
          <w:p w14:paraId="08E24ACA" w14:textId="77777777" w:rsidR="00586390" w:rsidRDefault="00586390" w:rsidP="00586390">
            <w:pPr>
              <w:pStyle w:val="ListParagraph"/>
              <w:ind w:left="0"/>
              <w:rPr>
                <w:rFonts w:ascii="Arial" w:hAnsi="Arial" w:cs="Arial"/>
                <w:sz w:val="22"/>
                <w:szCs w:val="22"/>
              </w:rPr>
            </w:pPr>
          </w:p>
        </w:tc>
        <w:tc>
          <w:tcPr>
            <w:tcW w:w="1559" w:type="dxa"/>
          </w:tcPr>
          <w:p w14:paraId="6C5BD8FC" w14:textId="77777777" w:rsidR="00586390" w:rsidRPr="00BB2C10" w:rsidRDefault="00586390" w:rsidP="00586390">
            <w:pPr>
              <w:pStyle w:val="ListParagraph"/>
              <w:ind w:left="0"/>
              <w:rPr>
                <w:rFonts w:ascii="Arial" w:hAnsi="Arial" w:cs="Arial"/>
                <w:sz w:val="22"/>
                <w:szCs w:val="22"/>
              </w:rPr>
            </w:pPr>
            <w:r>
              <w:rPr>
                <w:rFonts w:ascii="Arial" w:hAnsi="Arial" w:cs="Arial"/>
                <w:sz w:val="22"/>
                <w:szCs w:val="22"/>
              </w:rPr>
              <w:t xml:space="preserve">TWD Subgroup </w:t>
            </w:r>
          </w:p>
          <w:p w14:paraId="1AA01ED4" w14:textId="77777777" w:rsidR="00586390" w:rsidRDefault="00586390" w:rsidP="00586390">
            <w:pPr>
              <w:pStyle w:val="ListParagraph"/>
              <w:ind w:left="0"/>
              <w:rPr>
                <w:rFonts w:ascii="Arial" w:hAnsi="Arial" w:cs="Arial"/>
                <w:sz w:val="22"/>
                <w:szCs w:val="22"/>
              </w:rPr>
            </w:pPr>
          </w:p>
          <w:p w14:paraId="0BCB786C" w14:textId="77777777" w:rsidR="00586390" w:rsidRDefault="00586390" w:rsidP="00586390">
            <w:pPr>
              <w:pStyle w:val="ListParagraph"/>
              <w:ind w:left="0"/>
              <w:rPr>
                <w:rFonts w:ascii="Arial" w:hAnsi="Arial" w:cs="Arial"/>
                <w:sz w:val="22"/>
                <w:szCs w:val="22"/>
              </w:rPr>
            </w:pPr>
          </w:p>
        </w:tc>
        <w:tc>
          <w:tcPr>
            <w:tcW w:w="2693" w:type="dxa"/>
          </w:tcPr>
          <w:p w14:paraId="17D76CB4" w14:textId="660CDCB5" w:rsidR="00586390" w:rsidRDefault="00586390" w:rsidP="00586390">
            <w:pPr>
              <w:rPr>
                <w:rFonts w:ascii="Arial" w:hAnsi="Arial" w:cs="Arial"/>
                <w:sz w:val="22"/>
                <w:szCs w:val="22"/>
              </w:rPr>
            </w:pPr>
            <w:r>
              <w:rPr>
                <w:rFonts w:ascii="Arial" w:hAnsi="Arial" w:cs="Arial"/>
                <w:sz w:val="22"/>
                <w:szCs w:val="22"/>
              </w:rPr>
              <w:t xml:space="preserve">Three dates for coercion and control training were delivered in 2019 and were fully subscribed. </w:t>
            </w:r>
          </w:p>
          <w:p w14:paraId="167BFE66" w14:textId="2DDB3F16" w:rsidR="00DE39A5" w:rsidRDefault="00DE39A5" w:rsidP="00586390">
            <w:pPr>
              <w:rPr>
                <w:rFonts w:ascii="Arial" w:hAnsi="Arial" w:cs="Arial"/>
                <w:sz w:val="22"/>
                <w:szCs w:val="22"/>
              </w:rPr>
            </w:pPr>
          </w:p>
          <w:p w14:paraId="4F0FF307" w14:textId="4DBE7800" w:rsidR="00DE39A5" w:rsidRDefault="00DE39A5" w:rsidP="00586390">
            <w:pPr>
              <w:rPr>
                <w:rFonts w:ascii="Arial" w:hAnsi="Arial" w:cs="Arial"/>
                <w:sz w:val="22"/>
                <w:szCs w:val="22"/>
              </w:rPr>
            </w:pPr>
            <w:r>
              <w:rPr>
                <w:rFonts w:ascii="Arial" w:hAnsi="Arial" w:cs="Arial"/>
                <w:sz w:val="22"/>
                <w:szCs w:val="22"/>
              </w:rPr>
              <w:t xml:space="preserve">Current training programme </w:t>
            </w:r>
            <w:r w:rsidR="00C01F18">
              <w:rPr>
                <w:rFonts w:ascii="Arial" w:hAnsi="Arial" w:cs="Arial"/>
                <w:sz w:val="22"/>
                <w:szCs w:val="22"/>
              </w:rPr>
              <w:t>is b</w:t>
            </w:r>
            <w:r>
              <w:rPr>
                <w:rFonts w:ascii="Arial" w:hAnsi="Arial" w:cs="Arial"/>
                <w:sz w:val="22"/>
                <w:szCs w:val="22"/>
              </w:rPr>
              <w:t xml:space="preserve">eing </w:t>
            </w:r>
            <w:r w:rsidR="00C01F18">
              <w:rPr>
                <w:rFonts w:ascii="Arial" w:hAnsi="Arial" w:cs="Arial"/>
                <w:sz w:val="22"/>
                <w:szCs w:val="22"/>
              </w:rPr>
              <w:t>de</w:t>
            </w:r>
            <w:r>
              <w:rPr>
                <w:rFonts w:ascii="Arial" w:hAnsi="Arial" w:cs="Arial"/>
                <w:sz w:val="22"/>
                <w:szCs w:val="22"/>
              </w:rPr>
              <w:t>livered virtually.</w:t>
            </w:r>
          </w:p>
          <w:p w14:paraId="3E71E1F9" w14:textId="77777777" w:rsidR="00586390" w:rsidRDefault="00586390" w:rsidP="00586390">
            <w:pPr>
              <w:rPr>
                <w:rFonts w:ascii="Arial" w:hAnsi="Arial" w:cs="Arial"/>
                <w:sz w:val="22"/>
                <w:szCs w:val="22"/>
              </w:rPr>
            </w:pPr>
          </w:p>
          <w:p w14:paraId="68843B3C" w14:textId="77777777" w:rsidR="00586390" w:rsidRPr="00957FA9" w:rsidRDefault="00586390" w:rsidP="00DE39A5">
            <w:pPr>
              <w:rPr>
                <w:rFonts w:ascii="Arial" w:hAnsi="Arial" w:cs="Arial"/>
                <w:b/>
                <w:i/>
                <w:sz w:val="20"/>
                <w:szCs w:val="20"/>
              </w:rPr>
            </w:pPr>
          </w:p>
        </w:tc>
        <w:tc>
          <w:tcPr>
            <w:tcW w:w="992" w:type="dxa"/>
            <w:tcBorders>
              <w:bottom w:val="single" w:sz="4" w:space="0" w:color="auto"/>
            </w:tcBorders>
            <w:shd w:val="clear" w:color="auto" w:fill="00B050"/>
          </w:tcPr>
          <w:p w14:paraId="33E16548" w14:textId="77777777" w:rsidR="00586390" w:rsidRDefault="00586390" w:rsidP="00586390">
            <w:pPr>
              <w:pStyle w:val="ListParagraph"/>
              <w:ind w:left="0"/>
              <w:jc w:val="center"/>
              <w:rPr>
                <w:rFonts w:ascii="Arial" w:hAnsi="Arial" w:cs="Arial"/>
                <w:sz w:val="20"/>
                <w:szCs w:val="20"/>
              </w:rPr>
            </w:pPr>
          </w:p>
          <w:p w14:paraId="68F757FD" w14:textId="77777777" w:rsidR="00586390" w:rsidRDefault="00586390" w:rsidP="00586390">
            <w:pPr>
              <w:pStyle w:val="ListParagraph"/>
              <w:ind w:left="0"/>
              <w:jc w:val="center"/>
              <w:rPr>
                <w:rFonts w:ascii="Arial" w:hAnsi="Arial" w:cs="Arial"/>
                <w:sz w:val="20"/>
                <w:szCs w:val="20"/>
              </w:rPr>
            </w:pPr>
          </w:p>
          <w:p w14:paraId="73F78722" w14:textId="77777777" w:rsidR="00586390" w:rsidRDefault="00586390" w:rsidP="00586390">
            <w:pPr>
              <w:pStyle w:val="ListParagraph"/>
              <w:ind w:left="0"/>
              <w:jc w:val="center"/>
              <w:rPr>
                <w:rFonts w:ascii="Arial" w:hAnsi="Arial" w:cs="Arial"/>
                <w:sz w:val="20"/>
                <w:szCs w:val="20"/>
              </w:rPr>
            </w:pPr>
            <w:r>
              <w:rPr>
                <w:rFonts w:ascii="Arial" w:hAnsi="Arial" w:cs="Arial"/>
                <w:sz w:val="20"/>
                <w:szCs w:val="20"/>
              </w:rPr>
              <w:t>G</w:t>
            </w:r>
          </w:p>
        </w:tc>
      </w:tr>
      <w:tr w:rsidR="00586390" w:rsidRPr="00201FAC" w14:paraId="4EBC4D50" w14:textId="77777777" w:rsidTr="00733FB4">
        <w:trPr>
          <w:trHeight w:val="70"/>
        </w:trPr>
        <w:tc>
          <w:tcPr>
            <w:tcW w:w="4395" w:type="dxa"/>
            <w:vMerge/>
          </w:tcPr>
          <w:p w14:paraId="2382A4C5" w14:textId="77777777" w:rsidR="00586390" w:rsidRPr="004E5643" w:rsidRDefault="00586390" w:rsidP="00586390">
            <w:pPr>
              <w:widowControl w:val="0"/>
              <w:autoSpaceDE w:val="0"/>
              <w:autoSpaceDN w:val="0"/>
              <w:adjustRightInd w:val="0"/>
              <w:jc w:val="both"/>
              <w:rPr>
                <w:rFonts w:ascii="Arial" w:hAnsi="Arial" w:cs="Arial"/>
                <w:color w:val="943634" w:themeColor="accent2" w:themeShade="BF"/>
                <w:sz w:val="20"/>
                <w:szCs w:val="20"/>
              </w:rPr>
            </w:pPr>
          </w:p>
        </w:tc>
        <w:tc>
          <w:tcPr>
            <w:tcW w:w="4140" w:type="dxa"/>
            <w:tcBorders>
              <w:bottom w:val="single" w:sz="4" w:space="0" w:color="auto"/>
            </w:tcBorders>
          </w:tcPr>
          <w:p w14:paraId="65F7D296" w14:textId="77777777" w:rsidR="00586390" w:rsidRDefault="00586390" w:rsidP="00586390">
            <w:pPr>
              <w:rPr>
                <w:rFonts w:ascii="Arial" w:hAnsi="Arial" w:cs="Arial"/>
                <w:sz w:val="22"/>
                <w:szCs w:val="22"/>
              </w:rPr>
            </w:pPr>
            <w:r>
              <w:rPr>
                <w:rFonts w:ascii="Arial" w:hAnsi="Arial" w:cs="Arial"/>
                <w:sz w:val="22"/>
                <w:szCs w:val="22"/>
              </w:rPr>
              <w:t>The learning from this review, along with parallel learning from other reviews and multi-agency audits, will feed into a SAB Learning Event to be convened a year from the publication of the action plan.  This will support a review of progress made and how learning in this area has been embedded into practice.</w:t>
            </w:r>
          </w:p>
          <w:p w14:paraId="6F56A718" w14:textId="77777777" w:rsidR="00586390" w:rsidRDefault="00586390" w:rsidP="00586390">
            <w:pPr>
              <w:rPr>
                <w:rFonts w:ascii="Arial" w:hAnsi="Arial" w:cs="Arial"/>
                <w:sz w:val="22"/>
                <w:szCs w:val="22"/>
              </w:rPr>
            </w:pPr>
          </w:p>
          <w:p w14:paraId="6A55456B" w14:textId="77777777" w:rsidR="00586390" w:rsidRPr="00BB2C10" w:rsidRDefault="00586390" w:rsidP="00586390">
            <w:pPr>
              <w:rPr>
                <w:rFonts w:ascii="Arial" w:hAnsi="Arial" w:cs="Arial"/>
                <w:sz w:val="22"/>
                <w:szCs w:val="22"/>
              </w:rPr>
            </w:pPr>
          </w:p>
        </w:tc>
        <w:tc>
          <w:tcPr>
            <w:tcW w:w="1389" w:type="dxa"/>
            <w:tcBorders>
              <w:bottom w:val="single" w:sz="4" w:space="0" w:color="auto"/>
            </w:tcBorders>
          </w:tcPr>
          <w:p w14:paraId="2C8342DB" w14:textId="4E30C25F" w:rsidR="00586390" w:rsidRPr="00BB2C10" w:rsidRDefault="004B1CA6" w:rsidP="00586390">
            <w:pPr>
              <w:pStyle w:val="ListParagraph"/>
              <w:ind w:left="0"/>
              <w:rPr>
                <w:rFonts w:ascii="Arial" w:hAnsi="Arial" w:cs="Arial"/>
                <w:sz w:val="22"/>
                <w:szCs w:val="22"/>
              </w:rPr>
            </w:pPr>
            <w:r>
              <w:rPr>
                <w:rFonts w:ascii="Arial" w:hAnsi="Arial" w:cs="Arial"/>
                <w:sz w:val="22"/>
                <w:szCs w:val="22"/>
              </w:rPr>
              <w:t>May 2021</w:t>
            </w:r>
          </w:p>
        </w:tc>
        <w:tc>
          <w:tcPr>
            <w:tcW w:w="1559" w:type="dxa"/>
            <w:tcBorders>
              <w:bottom w:val="single" w:sz="4" w:space="0" w:color="auto"/>
            </w:tcBorders>
          </w:tcPr>
          <w:p w14:paraId="42A89D28" w14:textId="77777777" w:rsidR="00586390" w:rsidRDefault="00586390" w:rsidP="00586390">
            <w:pPr>
              <w:pStyle w:val="ListParagraph"/>
              <w:ind w:left="0"/>
              <w:rPr>
                <w:rFonts w:ascii="Arial" w:hAnsi="Arial" w:cs="Arial"/>
                <w:sz w:val="22"/>
                <w:szCs w:val="22"/>
              </w:rPr>
            </w:pPr>
            <w:r w:rsidRPr="00BB2C10">
              <w:rPr>
                <w:rFonts w:ascii="Arial" w:hAnsi="Arial" w:cs="Arial"/>
                <w:sz w:val="22"/>
                <w:szCs w:val="22"/>
              </w:rPr>
              <w:t xml:space="preserve">SAB </w:t>
            </w:r>
          </w:p>
          <w:p w14:paraId="59A1D9F3" w14:textId="77777777" w:rsidR="00586390" w:rsidRDefault="00586390" w:rsidP="00586390">
            <w:pPr>
              <w:pStyle w:val="ListParagraph"/>
              <w:ind w:left="0"/>
              <w:rPr>
                <w:rFonts w:ascii="Arial" w:hAnsi="Arial" w:cs="Arial"/>
                <w:sz w:val="22"/>
                <w:szCs w:val="22"/>
              </w:rPr>
            </w:pPr>
          </w:p>
          <w:p w14:paraId="313337FD" w14:textId="77777777" w:rsidR="00586390" w:rsidRDefault="00586390" w:rsidP="00586390">
            <w:pPr>
              <w:pStyle w:val="ListParagraph"/>
              <w:ind w:left="0"/>
              <w:rPr>
                <w:rFonts w:ascii="Arial" w:hAnsi="Arial" w:cs="Arial"/>
                <w:sz w:val="22"/>
                <w:szCs w:val="22"/>
              </w:rPr>
            </w:pPr>
          </w:p>
          <w:p w14:paraId="14F7B04A" w14:textId="77777777" w:rsidR="00586390" w:rsidRDefault="00586390" w:rsidP="00586390">
            <w:pPr>
              <w:pStyle w:val="ListParagraph"/>
              <w:ind w:left="0"/>
              <w:rPr>
                <w:rFonts w:ascii="Arial" w:hAnsi="Arial" w:cs="Arial"/>
                <w:sz w:val="22"/>
                <w:szCs w:val="22"/>
              </w:rPr>
            </w:pPr>
          </w:p>
          <w:p w14:paraId="7D32D661" w14:textId="77777777" w:rsidR="00586390" w:rsidRDefault="00586390" w:rsidP="00586390">
            <w:pPr>
              <w:pStyle w:val="ListParagraph"/>
              <w:ind w:left="0"/>
              <w:rPr>
                <w:rFonts w:ascii="Arial" w:hAnsi="Arial" w:cs="Arial"/>
                <w:sz w:val="22"/>
                <w:szCs w:val="22"/>
              </w:rPr>
            </w:pPr>
          </w:p>
          <w:p w14:paraId="22573CBA" w14:textId="77777777" w:rsidR="00586390" w:rsidRDefault="00586390" w:rsidP="00586390">
            <w:pPr>
              <w:pStyle w:val="ListParagraph"/>
              <w:ind w:left="0"/>
              <w:rPr>
                <w:rFonts w:ascii="Arial" w:hAnsi="Arial" w:cs="Arial"/>
                <w:sz w:val="22"/>
                <w:szCs w:val="22"/>
              </w:rPr>
            </w:pPr>
          </w:p>
          <w:p w14:paraId="07C17E38" w14:textId="77777777" w:rsidR="00586390" w:rsidRDefault="00586390" w:rsidP="00586390">
            <w:pPr>
              <w:pStyle w:val="ListParagraph"/>
              <w:ind w:left="0"/>
              <w:rPr>
                <w:rFonts w:ascii="Arial" w:hAnsi="Arial" w:cs="Arial"/>
                <w:sz w:val="22"/>
                <w:szCs w:val="22"/>
              </w:rPr>
            </w:pPr>
          </w:p>
          <w:p w14:paraId="2513EB3C" w14:textId="77777777" w:rsidR="00586390" w:rsidRPr="00BB2C10" w:rsidRDefault="00586390" w:rsidP="00586390">
            <w:pPr>
              <w:pStyle w:val="ListParagraph"/>
              <w:ind w:left="0"/>
              <w:rPr>
                <w:rFonts w:ascii="Arial" w:hAnsi="Arial" w:cs="Arial"/>
                <w:sz w:val="22"/>
                <w:szCs w:val="22"/>
              </w:rPr>
            </w:pPr>
          </w:p>
        </w:tc>
        <w:tc>
          <w:tcPr>
            <w:tcW w:w="2693" w:type="dxa"/>
            <w:tcBorders>
              <w:bottom w:val="single" w:sz="4" w:space="0" w:color="auto"/>
            </w:tcBorders>
          </w:tcPr>
          <w:p w14:paraId="59827C31" w14:textId="34CB82BC" w:rsidR="00586390" w:rsidRPr="00957FA9" w:rsidRDefault="00725E9E" w:rsidP="00837710">
            <w:pPr>
              <w:pStyle w:val="ListParagraph"/>
              <w:ind w:left="0"/>
              <w:rPr>
                <w:rFonts w:ascii="Arial" w:hAnsi="Arial" w:cs="Arial"/>
                <w:b/>
                <w:i/>
                <w:sz w:val="22"/>
                <w:szCs w:val="22"/>
              </w:rPr>
            </w:pPr>
            <w:r>
              <w:rPr>
                <w:rFonts w:ascii="Arial" w:hAnsi="Arial" w:cs="Arial"/>
                <w:sz w:val="22"/>
                <w:szCs w:val="22"/>
              </w:rPr>
              <w:t xml:space="preserve">Joint virtual conference with Brighton &amp; Hove SAB </w:t>
            </w:r>
            <w:r w:rsidR="00733FB4">
              <w:rPr>
                <w:rFonts w:ascii="Arial" w:hAnsi="Arial" w:cs="Arial"/>
                <w:sz w:val="22"/>
                <w:szCs w:val="22"/>
              </w:rPr>
              <w:t>took place</w:t>
            </w:r>
            <w:r>
              <w:rPr>
                <w:rFonts w:ascii="Arial" w:hAnsi="Arial" w:cs="Arial"/>
                <w:sz w:val="22"/>
                <w:szCs w:val="22"/>
              </w:rPr>
              <w:t xml:space="preserve"> on 26/05/2021</w:t>
            </w:r>
            <w:r w:rsidR="00733FB4">
              <w:rPr>
                <w:rFonts w:ascii="Arial" w:hAnsi="Arial" w:cs="Arial"/>
                <w:sz w:val="22"/>
                <w:szCs w:val="22"/>
              </w:rPr>
              <w:t xml:space="preserve"> with a focus on multi-agency learning from recent SARs including Adult B</w:t>
            </w:r>
            <w:r>
              <w:rPr>
                <w:rFonts w:ascii="Arial" w:hAnsi="Arial" w:cs="Arial"/>
                <w:sz w:val="22"/>
                <w:szCs w:val="22"/>
              </w:rPr>
              <w:t xml:space="preserve">. </w:t>
            </w:r>
            <w:r w:rsidR="001E4C3D">
              <w:rPr>
                <w:rFonts w:ascii="Arial" w:hAnsi="Arial" w:cs="Arial"/>
                <w:sz w:val="22"/>
                <w:szCs w:val="22"/>
              </w:rPr>
              <w:t xml:space="preserve">  </w:t>
            </w:r>
            <w:r w:rsidR="008419F8">
              <w:rPr>
                <w:rFonts w:ascii="Arial" w:hAnsi="Arial" w:cs="Arial"/>
                <w:sz w:val="22"/>
                <w:szCs w:val="22"/>
              </w:rPr>
              <w:t xml:space="preserve"> </w:t>
            </w:r>
          </w:p>
        </w:tc>
        <w:tc>
          <w:tcPr>
            <w:tcW w:w="992" w:type="dxa"/>
            <w:tcBorders>
              <w:bottom w:val="single" w:sz="4" w:space="0" w:color="auto"/>
            </w:tcBorders>
            <w:shd w:val="clear" w:color="auto" w:fill="00B050"/>
          </w:tcPr>
          <w:p w14:paraId="7DE350AB" w14:textId="77777777" w:rsidR="00586390" w:rsidRDefault="00586390" w:rsidP="00586390">
            <w:pPr>
              <w:pStyle w:val="ListParagraph"/>
              <w:ind w:left="0"/>
              <w:jc w:val="center"/>
              <w:rPr>
                <w:rFonts w:ascii="Arial" w:hAnsi="Arial" w:cs="Arial"/>
                <w:sz w:val="20"/>
                <w:szCs w:val="20"/>
              </w:rPr>
            </w:pPr>
          </w:p>
          <w:p w14:paraId="149AAD67" w14:textId="77777777" w:rsidR="00586390" w:rsidRDefault="00586390" w:rsidP="00586390">
            <w:pPr>
              <w:pStyle w:val="ListParagraph"/>
              <w:ind w:left="0"/>
              <w:jc w:val="center"/>
              <w:rPr>
                <w:rFonts w:ascii="Arial" w:hAnsi="Arial" w:cs="Arial"/>
                <w:sz w:val="20"/>
                <w:szCs w:val="20"/>
              </w:rPr>
            </w:pPr>
          </w:p>
          <w:p w14:paraId="0CFB16DF" w14:textId="77777777" w:rsidR="00586390" w:rsidRDefault="00586390" w:rsidP="00586390">
            <w:pPr>
              <w:pStyle w:val="ListParagraph"/>
              <w:ind w:left="0"/>
              <w:jc w:val="center"/>
              <w:rPr>
                <w:rFonts w:ascii="Arial" w:hAnsi="Arial" w:cs="Arial"/>
                <w:sz w:val="20"/>
                <w:szCs w:val="20"/>
              </w:rPr>
            </w:pPr>
          </w:p>
          <w:p w14:paraId="17A9234F" w14:textId="22B75229" w:rsidR="00586390" w:rsidRPr="00201FAC" w:rsidRDefault="00733FB4" w:rsidP="00586390">
            <w:pPr>
              <w:pStyle w:val="ListParagraph"/>
              <w:ind w:left="0"/>
              <w:jc w:val="center"/>
              <w:rPr>
                <w:rFonts w:ascii="Arial" w:hAnsi="Arial" w:cs="Arial"/>
                <w:sz w:val="20"/>
                <w:szCs w:val="20"/>
              </w:rPr>
            </w:pPr>
            <w:r>
              <w:rPr>
                <w:rFonts w:ascii="Arial" w:hAnsi="Arial" w:cs="Arial"/>
                <w:sz w:val="20"/>
                <w:szCs w:val="20"/>
              </w:rPr>
              <w:t>G</w:t>
            </w:r>
          </w:p>
        </w:tc>
      </w:tr>
      <w:tr w:rsidR="00586390" w:rsidRPr="00201FAC" w14:paraId="335CCD6F" w14:textId="77777777" w:rsidTr="00733FB4">
        <w:trPr>
          <w:trHeight w:val="691"/>
        </w:trPr>
        <w:tc>
          <w:tcPr>
            <w:tcW w:w="4395" w:type="dxa"/>
            <w:vMerge/>
            <w:tcBorders>
              <w:bottom w:val="single" w:sz="4" w:space="0" w:color="auto"/>
            </w:tcBorders>
          </w:tcPr>
          <w:p w14:paraId="28EED812" w14:textId="77777777" w:rsidR="00586390" w:rsidRPr="004E5643" w:rsidRDefault="00586390" w:rsidP="00586390">
            <w:pPr>
              <w:widowControl w:val="0"/>
              <w:autoSpaceDE w:val="0"/>
              <w:autoSpaceDN w:val="0"/>
              <w:adjustRightInd w:val="0"/>
              <w:jc w:val="both"/>
              <w:rPr>
                <w:rFonts w:ascii="Arial" w:hAnsi="Arial" w:cs="Arial"/>
                <w:color w:val="943634" w:themeColor="accent2" w:themeShade="BF"/>
                <w:sz w:val="20"/>
                <w:szCs w:val="20"/>
              </w:rPr>
            </w:pPr>
          </w:p>
        </w:tc>
        <w:tc>
          <w:tcPr>
            <w:tcW w:w="4140" w:type="dxa"/>
            <w:tcBorders>
              <w:bottom w:val="single" w:sz="4" w:space="0" w:color="auto"/>
            </w:tcBorders>
          </w:tcPr>
          <w:p w14:paraId="6DE3F47E" w14:textId="77777777" w:rsidR="00586390" w:rsidRDefault="00586390" w:rsidP="00586390">
            <w:pPr>
              <w:rPr>
                <w:rFonts w:ascii="Arial" w:hAnsi="Arial" w:cs="Arial"/>
                <w:sz w:val="22"/>
                <w:szCs w:val="22"/>
              </w:rPr>
            </w:pPr>
            <w:r>
              <w:rPr>
                <w:rFonts w:ascii="Arial" w:hAnsi="Arial" w:cs="Arial"/>
                <w:sz w:val="22"/>
                <w:szCs w:val="22"/>
              </w:rPr>
              <w:t xml:space="preserve">The content of the Sussex Safeguarding Adults Policy and Procedures to be reviewed to ensure there is sufficient guidance relating to issues of consent where there are concerns about the influence of </w:t>
            </w:r>
            <w:r>
              <w:rPr>
                <w:rFonts w:ascii="Arial" w:hAnsi="Arial" w:cs="Arial"/>
                <w:sz w:val="22"/>
                <w:szCs w:val="22"/>
              </w:rPr>
              <w:lastRenderedPageBreak/>
              <w:t xml:space="preserve">coercion and control on decision making. </w:t>
            </w:r>
          </w:p>
          <w:p w14:paraId="5D276A53" w14:textId="77777777" w:rsidR="00586390" w:rsidRDefault="00586390" w:rsidP="00586390">
            <w:pPr>
              <w:rPr>
                <w:rFonts w:ascii="Arial" w:hAnsi="Arial" w:cs="Arial"/>
                <w:sz w:val="22"/>
                <w:szCs w:val="22"/>
              </w:rPr>
            </w:pPr>
          </w:p>
        </w:tc>
        <w:tc>
          <w:tcPr>
            <w:tcW w:w="1389" w:type="dxa"/>
            <w:tcBorders>
              <w:bottom w:val="single" w:sz="4" w:space="0" w:color="auto"/>
            </w:tcBorders>
          </w:tcPr>
          <w:p w14:paraId="4C26E95D" w14:textId="423ED1F8" w:rsidR="00586390" w:rsidRDefault="00373CE7" w:rsidP="00586390">
            <w:pPr>
              <w:pStyle w:val="ListParagraph"/>
              <w:ind w:left="0"/>
              <w:rPr>
                <w:rFonts w:ascii="Arial" w:hAnsi="Arial" w:cs="Arial"/>
                <w:sz w:val="22"/>
                <w:szCs w:val="22"/>
              </w:rPr>
            </w:pPr>
            <w:r>
              <w:rPr>
                <w:rFonts w:ascii="Arial" w:hAnsi="Arial" w:cs="Arial"/>
                <w:sz w:val="22"/>
                <w:szCs w:val="22"/>
              </w:rPr>
              <w:lastRenderedPageBreak/>
              <w:t xml:space="preserve">March </w:t>
            </w:r>
            <w:r w:rsidR="00586390">
              <w:rPr>
                <w:rFonts w:ascii="Arial" w:hAnsi="Arial" w:cs="Arial"/>
                <w:sz w:val="22"/>
                <w:szCs w:val="22"/>
              </w:rPr>
              <w:t>202</w:t>
            </w:r>
            <w:r w:rsidR="00837710">
              <w:rPr>
                <w:rFonts w:ascii="Arial" w:hAnsi="Arial" w:cs="Arial"/>
                <w:sz w:val="22"/>
                <w:szCs w:val="22"/>
              </w:rPr>
              <w:t>1</w:t>
            </w:r>
          </w:p>
          <w:p w14:paraId="0BD36E41" w14:textId="77777777" w:rsidR="00586390" w:rsidRDefault="00586390" w:rsidP="00586390">
            <w:pPr>
              <w:pStyle w:val="ListParagraph"/>
              <w:ind w:left="0"/>
              <w:rPr>
                <w:rFonts w:ascii="Arial" w:hAnsi="Arial" w:cs="Arial"/>
                <w:sz w:val="22"/>
                <w:szCs w:val="22"/>
              </w:rPr>
            </w:pPr>
          </w:p>
        </w:tc>
        <w:tc>
          <w:tcPr>
            <w:tcW w:w="1559" w:type="dxa"/>
            <w:tcBorders>
              <w:bottom w:val="single" w:sz="4" w:space="0" w:color="auto"/>
            </w:tcBorders>
          </w:tcPr>
          <w:p w14:paraId="49396271" w14:textId="77777777" w:rsidR="00586390" w:rsidRDefault="00586390" w:rsidP="00586390">
            <w:pPr>
              <w:pStyle w:val="ListParagraph"/>
              <w:ind w:left="0"/>
              <w:rPr>
                <w:rFonts w:ascii="Arial" w:hAnsi="Arial" w:cs="Arial"/>
                <w:sz w:val="22"/>
                <w:szCs w:val="22"/>
              </w:rPr>
            </w:pPr>
            <w:r>
              <w:rPr>
                <w:rFonts w:ascii="Arial" w:hAnsi="Arial" w:cs="Arial"/>
                <w:sz w:val="22"/>
                <w:szCs w:val="22"/>
              </w:rPr>
              <w:t>Pan-Sussex Policy and Procedures Review Group</w:t>
            </w:r>
          </w:p>
          <w:p w14:paraId="3982770C" w14:textId="77777777" w:rsidR="00586390" w:rsidRPr="00BB2C10" w:rsidRDefault="00586390" w:rsidP="00586390">
            <w:pPr>
              <w:pStyle w:val="ListParagraph"/>
              <w:ind w:left="0"/>
              <w:rPr>
                <w:rFonts w:ascii="Arial" w:hAnsi="Arial" w:cs="Arial"/>
                <w:sz w:val="22"/>
                <w:szCs w:val="22"/>
              </w:rPr>
            </w:pPr>
          </w:p>
        </w:tc>
        <w:tc>
          <w:tcPr>
            <w:tcW w:w="2693" w:type="dxa"/>
            <w:tcBorders>
              <w:bottom w:val="single" w:sz="4" w:space="0" w:color="auto"/>
            </w:tcBorders>
          </w:tcPr>
          <w:p w14:paraId="5D1DD3B6" w14:textId="192C1CB3" w:rsidR="00586390" w:rsidRDefault="00733FB4" w:rsidP="00586390">
            <w:pPr>
              <w:pStyle w:val="ListParagraph"/>
              <w:ind w:left="0"/>
              <w:rPr>
                <w:rFonts w:ascii="Arial" w:hAnsi="Arial" w:cs="Arial"/>
                <w:sz w:val="22"/>
                <w:szCs w:val="22"/>
              </w:rPr>
            </w:pPr>
            <w:r>
              <w:rPr>
                <w:rFonts w:ascii="Arial" w:hAnsi="Arial" w:cs="Arial"/>
                <w:sz w:val="22"/>
                <w:szCs w:val="22"/>
              </w:rPr>
              <w:t xml:space="preserve">Updates to domestic abuse chapter </w:t>
            </w:r>
            <w:r w:rsidR="00C01F18">
              <w:rPr>
                <w:rFonts w:ascii="Arial" w:hAnsi="Arial" w:cs="Arial"/>
                <w:sz w:val="22"/>
                <w:szCs w:val="22"/>
              </w:rPr>
              <w:t>added to</w:t>
            </w:r>
            <w:r>
              <w:rPr>
                <w:rFonts w:ascii="Arial" w:hAnsi="Arial" w:cs="Arial"/>
                <w:sz w:val="22"/>
                <w:szCs w:val="22"/>
              </w:rPr>
              <w:t xml:space="preserve"> online procedures on 28/05/2021. </w:t>
            </w:r>
          </w:p>
          <w:p w14:paraId="5C4FCA7A" w14:textId="77777777" w:rsidR="00586390" w:rsidRDefault="00586390" w:rsidP="00586390">
            <w:pPr>
              <w:pStyle w:val="ListParagraph"/>
              <w:ind w:left="0"/>
              <w:rPr>
                <w:rFonts w:ascii="Arial" w:hAnsi="Arial" w:cs="Arial"/>
                <w:sz w:val="22"/>
                <w:szCs w:val="22"/>
              </w:rPr>
            </w:pPr>
          </w:p>
          <w:p w14:paraId="7C179098" w14:textId="77777777" w:rsidR="00586390" w:rsidRPr="00647BA5" w:rsidRDefault="00586390" w:rsidP="00586390">
            <w:pPr>
              <w:pStyle w:val="ListParagraph"/>
              <w:ind w:left="0"/>
              <w:rPr>
                <w:rFonts w:ascii="Arial" w:hAnsi="Arial" w:cs="Arial"/>
                <w:sz w:val="22"/>
                <w:szCs w:val="22"/>
              </w:rPr>
            </w:pPr>
          </w:p>
        </w:tc>
        <w:tc>
          <w:tcPr>
            <w:tcW w:w="992" w:type="dxa"/>
            <w:tcBorders>
              <w:bottom w:val="single" w:sz="4" w:space="0" w:color="auto"/>
            </w:tcBorders>
            <w:shd w:val="clear" w:color="auto" w:fill="00B050"/>
          </w:tcPr>
          <w:p w14:paraId="2F13151A" w14:textId="77777777" w:rsidR="00586390" w:rsidRDefault="00586390" w:rsidP="00586390">
            <w:pPr>
              <w:pStyle w:val="ListParagraph"/>
              <w:ind w:left="0"/>
              <w:jc w:val="center"/>
              <w:rPr>
                <w:rFonts w:ascii="Arial" w:hAnsi="Arial" w:cs="Arial"/>
                <w:sz w:val="20"/>
                <w:szCs w:val="20"/>
              </w:rPr>
            </w:pPr>
          </w:p>
          <w:p w14:paraId="0A1D3FEB" w14:textId="77777777" w:rsidR="00586390" w:rsidRDefault="00586390" w:rsidP="00586390">
            <w:pPr>
              <w:pStyle w:val="ListParagraph"/>
              <w:ind w:left="0"/>
              <w:jc w:val="center"/>
              <w:rPr>
                <w:rFonts w:ascii="Arial" w:hAnsi="Arial" w:cs="Arial"/>
                <w:sz w:val="20"/>
                <w:szCs w:val="20"/>
              </w:rPr>
            </w:pPr>
          </w:p>
          <w:p w14:paraId="1F29DA10" w14:textId="77777777" w:rsidR="00586390" w:rsidRDefault="00586390" w:rsidP="00586390">
            <w:pPr>
              <w:pStyle w:val="ListParagraph"/>
              <w:ind w:left="0"/>
              <w:jc w:val="center"/>
              <w:rPr>
                <w:rFonts w:ascii="Arial" w:hAnsi="Arial" w:cs="Arial"/>
                <w:sz w:val="20"/>
                <w:szCs w:val="20"/>
              </w:rPr>
            </w:pPr>
          </w:p>
          <w:p w14:paraId="239F5A6D" w14:textId="3F3620AF" w:rsidR="00586390" w:rsidRDefault="00733FB4" w:rsidP="00586390">
            <w:pPr>
              <w:pStyle w:val="ListParagraph"/>
              <w:ind w:left="0"/>
              <w:jc w:val="center"/>
              <w:rPr>
                <w:rFonts w:ascii="Arial" w:hAnsi="Arial" w:cs="Arial"/>
                <w:sz w:val="20"/>
                <w:szCs w:val="20"/>
              </w:rPr>
            </w:pPr>
            <w:r>
              <w:rPr>
                <w:rFonts w:ascii="Arial" w:hAnsi="Arial" w:cs="Arial"/>
                <w:sz w:val="20"/>
                <w:szCs w:val="20"/>
              </w:rPr>
              <w:t>G</w:t>
            </w:r>
          </w:p>
        </w:tc>
      </w:tr>
      <w:tr w:rsidR="00586390" w:rsidRPr="00201FAC" w14:paraId="7230C2FD" w14:textId="77777777" w:rsidTr="000B7F64">
        <w:trPr>
          <w:trHeight w:val="691"/>
        </w:trPr>
        <w:tc>
          <w:tcPr>
            <w:tcW w:w="4395" w:type="dxa"/>
            <w:tcBorders>
              <w:bottom w:val="single" w:sz="4" w:space="0" w:color="auto"/>
            </w:tcBorders>
          </w:tcPr>
          <w:p w14:paraId="0A41D9E5" w14:textId="77777777" w:rsidR="00586390" w:rsidRPr="00411A10" w:rsidRDefault="00586390" w:rsidP="00586390">
            <w:pPr>
              <w:widowControl w:val="0"/>
              <w:autoSpaceDE w:val="0"/>
              <w:autoSpaceDN w:val="0"/>
              <w:adjustRightInd w:val="0"/>
              <w:jc w:val="both"/>
              <w:rPr>
                <w:rFonts w:ascii="Arial" w:hAnsi="Arial" w:cs="Arial"/>
                <w:b/>
                <w:color w:val="943634" w:themeColor="accent2" w:themeShade="BF"/>
                <w:sz w:val="22"/>
                <w:szCs w:val="22"/>
              </w:rPr>
            </w:pPr>
            <w:r w:rsidRPr="00411A10">
              <w:rPr>
                <w:rFonts w:ascii="Arial" w:hAnsi="Arial" w:cs="Arial"/>
                <w:b/>
                <w:color w:val="943634" w:themeColor="accent2" w:themeShade="BF"/>
                <w:sz w:val="22"/>
                <w:szCs w:val="22"/>
              </w:rPr>
              <w:t>Recommendation 4:</w:t>
            </w:r>
          </w:p>
          <w:p w14:paraId="1B50CD02" w14:textId="77777777" w:rsidR="00586390" w:rsidRPr="009E3E5B" w:rsidRDefault="00586390" w:rsidP="00586390">
            <w:pPr>
              <w:widowControl w:val="0"/>
              <w:autoSpaceDE w:val="0"/>
              <w:autoSpaceDN w:val="0"/>
              <w:adjustRightInd w:val="0"/>
              <w:jc w:val="both"/>
              <w:rPr>
                <w:rFonts w:ascii="Arial" w:hAnsi="Arial" w:cs="Arial"/>
                <w:b/>
                <w:color w:val="943634" w:themeColor="accent2" w:themeShade="BF"/>
                <w:sz w:val="20"/>
                <w:szCs w:val="20"/>
              </w:rPr>
            </w:pPr>
          </w:p>
          <w:p w14:paraId="05D57CA7" w14:textId="77777777" w:rsidR="00586390" w:rsidRDefault="00586390" w:rsidP="00586390">
            <w:pPr>
              <w:widowControl w:val="0"/>
              <w:autoSpaceDE w:val="0"/>
              <w:autoSpaceDN w:val="0"/>
              <w:adjustRightInd w:val="0"/>
              <w:jc w:val="both"/>
              <w:rPr>
                <w:rFonts w:ascii="Arial" w:hAnsi="Arial" w:cs="Arial"/>
                <w:bCs/>
                <w:sz w:val="22"/>
                <w:szCs w:val="22"/>
              </w:rPr>
            </w:pPr>
            <w:r w:rsidRPr="007C57B5">
              <w:rPr>
                <w:rFonts w:ascii="Arial" w:hAnsi="Arial" w:cs="Arial"/>
                <w:bCs/>
                <w:sz w:val="22"/>
                <w:szCs w:val="22"/>
              </w:rPr>
              <w:t xml:space="preserve">The SAB should consider developing alternative arrangements for investigating unexpected adult deaths where abuse is suspected or known to be a factor in the death. These arrangements should be based on existing adult legal mandates and established agency roles, drawing on the learning in Children’s Services about the strengths and weaknesses of the current Child Death Review processes. </w:t>
            </w:r>
          </w:p>
          <w:p w14:paraId="6A1BCB9C" w14:textId="77777777" w:rsidR="00586390" w:rsidRPr="00201FAC" w:rsidRDefault="00586390" w:rsidP="00586390">
            <w:pPr>
              <w:widowControl w:val="0"/>
              <w:autoSpaceDE w:val="0"/>
              <w:autoSpaceDN w:val="0"/>
              <w:adjustRightInd w:val="0"/>
              <w:jc w:val="both"/>
              <w:rPr>
                <w:rFonts w:ascii="Arial" w:hAnsi="Arial" w:cs="Arial"/>
                <w:b/>
                <w:color w:val="943634" w:themeColor="accent2" w:themeShade="BF"/>
                <w:sz w:val="20"/>
                <w:szCs w:val="20"/>
              </w:rPr>
            </w:pPr>
          </w:p>
        </w:tc>
        <w:tc>
          <w:tcPr>
            <w:tcW w:w="4140" w:type="dxa"/>
            <w:tcBorders>
              <w:bottom w:val="single" w:sz="4" w:space="0" w:color="auto"/>
            </w:tcBorders>
          </w:tcPr>
          <w:p w14:paraId="475F21AC" w14:textId="77777777" w:rsidR="00586390" w:rsidRPr="00BB2C10" w:rsidRDefault="00586390" w:rsidP="00586390">
            <w:pPr>
              <w:rPr>
                <w:rFonts w:ascii="Arial" w:hAnsi="Arial" w:cs="Arial"/>
                <w:sz w:val="22"/>
                <w:szCs w:val="22"/>
              </w:rPr>
            </w:pPr>
            <w:r>
              <w:rPr>
                <w:rFonts w:ascii="Arial" w:hAnsi="Arial" w:cs="Arial"/>
                <w:sz w:val="22"/>
                <w:szCs w:val="22"/>
              </w:rPr>
              <w:t xml:space="preserve">A multi-agency working group to be convened to review current arrangements for investigating unexpected adult deaths, where abuse or neglect is known or suspected. This will involve consideration of relevant national and local learning / existing processes.  </w:t>
            </w:r>
          </w:p>
          <w:p w14:paraId="279BA2F2" w14:textId="77777777" w:rsidR="00586390" w:rsidRPr="00BB2C10" w:rsidRDefault="00586390" w:rsidP="00586390">
            <w:pPr>
              <w:rPr>
                <w:rFonts w:ascii="Arial" w:hAnsi="Arial" w:cs="Arial"/>
                <w:sz w:val="22"/>
                <w:szCs w:val="22"/>
              </w:rPr>
            </w:pPr>
          </w:p>
          <w:p w14:paraId="18C6E121" w14:textId="77777777" w:rsidR="00586390" w:rsidRPr="00BB2C10" w:rsidRDefault="00586390" w:rsidP="00586390">
            <w:pPr>
              <w:rPr>
                <w:rFonts w:ascii="Arial" w:hAnsi="Arial" w:cs="Arial"/>
                <w:sz w:val="22"/>
                <w:szCs w:val="22"/>
              </w:rPr>
            </w:pPr>
          </w:p>
        </w:tc>
        <w:tc>
          <w:tcPr>
            <w:tcW w:w="1389" w:type="dxa"/>
            <w:tcBorders>
              <w:bottom w:val="single" w:sz="4" w:space="0" w:color="auto"/>
            </w:tcBorders>
          </w:tcPr>
          <w:p w14:paraId="20B75FD8" w14:textId="69102397" w:rsidR="00586390" w:rsidRDefault="00837710" w:rsidP="00586390">
            <w:pPr>
              <w:pStyle w:val="ListParagraph"/>
              <w:ind w:left="0"/>
              <w:rPr>
                <w:rFonts w:ascii="Arial" w:hAnsi="Arial" w:cs="Arial"/>
                <w:sz w:val="22"/>
                <w:szCs w:val="22"/>
              </w:rPr>
            </w:pPr>
            <w:r>
              <w:rPr>
                <w:rFonts w:ascii="Arial" w:hAnsi="Arial" w:cs="Arial"/>
                <w:sz w:val="22"/>
                <w:szCs w:val="22"/>
              </w:rPr>
              <w:t>November</w:t>
            </w:r>
          </w:p>
          <w:p w14:paraId="35E4A56E" w14:textId="77777777" w:rsidR="00586390" w:rsidRPr="00BB2C10" w:rsidRDefault="00586390" w:rsidP="00586390">
            <w:pPr>
              <w:pStyle w:val="ListParagraph"/>
              <w:ind w:left="0"/>
              <w:rPr>
                <w:rFonts w:ascii="Arial" w:hAnsi="Arial" w:cs="Arial"/>
                <w:sz w:val="22"/>
                <w:szCs w:val="22"/>
              </w:rPr>
            </w:pPr>
            <w:r>
              <w:rPr>
                <w:rFonts w:ascii="Arial" w:hAnsi="Arial" w:cs="Arial"/>
                <w:sz w:val="22"/>
                <w:szCs w:val="22"/>
              </w:rPr>
              <w:t>2020</w:t>
            </w:r>
          </w:p>
        </w:tc>
        <w:tc>
          <w:tcPr>
            <w:tcW w:w="1559" w:type="dxa"/>
            <w:tcBorders>
              <w:bottom w:val="single" w:sz="4" w:space="0" w:color="auto"/>
            </w:tcBorders>
          </w:tcPr>
          <w:p w14:paraId="1FAB3D23" w14:textId="77777777" w:rsidR="00586390" w:rsidRPr="00B00F9A" w:rsidRDefault="00586390" w:rsidP="00586390">
            <w:pPr>
              <w:pStyle w:val="ListParagraph"/>
              <w:ind w:left="0"/>
              <w:rPr>
                <w:rFonts w:ascii="Arial" w:hAnsi="Arial" w:cs="Arial"/>
                <w:sz w:val="22"/>
                <w:szCs w:val="22"/>
              </w:rPr>
            </w:pPr>
            <w:r>
              <w:rPr>
                <w:rFonts w:ascii="Arial" w:hAnsi="Arial" w:cs="Arial"/>
                <w:sz w:val="22"/>
                <w:szCs w:val="22"/>
              </w:rPr>
              <w:t>OP</w:t>
            </w:r>
            <w:r w:rsidRPr="00B00F9A">
              <w:rPr>
                <w:rFonts w:ascii="Arial" w:hAnsi="Arial" w:cs="Arial"/>
                <w:sz w:val="22"/>
                <w:szCs w:val="22"/>
              </w:rPr>
              <w:t xml:space="preserve"> Subgroup</w:t>
            </w:r>
          </w:p>
          <w:p w14:paraId="075528D5" w14:textId="77777777" w:rsidR="00586390" w:rsidRPr="00B00F9A" w:rsidRDefault="00586390" w:rsidP="00586390">
            <w:pPr>
              <w:pStyle w:val="ListParagraph"/>
              <w:ind w:left="0"/>
              <w:rPr>
                <w:rFonts w:ascii="Arial" w:hAnsi="Arial" w:cs="Arial"/>
                <w:sz w:val="22"/>
                <w:szCs w:val="22"/>
              </w:rPr>
            </w:pPr>
          </w:p>
          <w:p w14:paraId="690C20EF" w14:textId="77777777" w:rsidR="00586390" w:rsidRPr="00BB2C10" w:rsidRDefault="00586390" w:rsidP="00586390">
            <w:pPr>
              <w:pStyle w:val="ListParagraph"/>
              <w:ind w:left="0"/>
              <w:rPr>
                <w:rFonts w:ascii="Arial" w:hAnsi="Arial" w:cs="Arial"/>
                <w:sz w:val="22"/>
                <w:szCs w:val="22"/>
                <w:highlight w:val="yellow"/>
              </w:rPr>
            </w:pPr>
          </w:p>
          <w:p w14:paraId="11585B73" w14:textId="77777777" w:rsidR="00586390" w:rsidRPr="00BB2C10" w:rsidRDefault="00586390" w:rsidP="00586390">
            <w:pPr>
              <w:pStyle w:val="ListParagraph"/>
              <w:ind w:left="0"/>
              <w:rPr>
                <w:rFonts w:ascii="Arial" w:hAnsi="Arial" w:cs="Arial"/>
                <w:sz w:val="22"/>
                <w:szCs w:val="22"/>
                <w:highlight w:val="yellow"/>
              </w:rPr>
            </w:pPr>
          </w:p>
          <w:p w14:paraId="05B91077" w14:textId="77777777" w:rsidR="00586390" w:rsidRPr="00BB2C10" w:rsidRDefault="00586390" w:rsidP="00586390">
            <w:pPr>
              <w:pStyle w:val="ListParagraph"/>
              <w:ind w:left="0"/>
              <w:rPr>
                <w:rFonts w:ascii="Arial" w:hAnsi="Arial" w:cs="Arial"/>
                <w:sz w:val="22"/>
                <w:szCs w:val="22"/>
                <w:highlight w:val="yellow"/>
              </w:rPr>
            </w:pPr>
          </w:p>
          <w:p w14:paraId="27B955DC" w14:textId="77777777" w:rsidR="00586390" w:rsidRPr="00BB2C10" w:rsidRDefault="00586390" w:rsidP="00586390">
            <w:pPr>
              <w:pStyle w:val="ListParagraph"/>
              <w:ind w:left="0"/>
              <w:rPr>
                <w:rFonts w:ascii="Arial" w:hAnsi="Arial" w:cs="Arial"/>
                <w:sz w:val="22"/>
                <w:szCs w:val="22"/>
                <w:highlight w:val="yellow"/>
              </w:rPr>
            </w:pPr>
          </w:p>
        </w:tc>
        <w:tc>
          <w:tcPr>
            <w:tcW w:w="2693" w:type="dxa"/>
            <w:tcBorders>
              <w:bottom w:val="single" w:sz="4" w:space="0" w:color="auto"/>
            </w:tcBorders>
          </w:tcPr>
          <w:p w14:paraId="05F4776F" w14:textId="1BCAC2C6" w:rsidR="00837710" w:rsidRPr="00DE39A5" w:rsidRDefault="000B7F64" w:rsidP="00DE39A5">
            <w:pPr>
              <w:pStyle w:val="ListParagraph"/>
              <w:ind w:left="0"/>
              <w:rPr>
                <w:rFonts w:ascii="Arial" w:hAnsi="Arial" w:cs="Arial"/>
                <w:bCs/>
                <w:iCs/>
                <w:sz w:val="22"/>
                <w:szCs w:val="22"/>
                <w:highlight w:val="yellow"/>
              </w:rPr>
            </w:pPr>
            <w:r>
              <w:rPr>
                <w:rFonts w:ascii="Arial" w:hAnsi="Arial" w:cs="Arial"/>
                <w:bCs/>
                <w:iCs/>
                <w:sz w:val="22"/>
                <w:szCs w:val="22"/>
              </w:rPr>
              <w:t>Published 09/11/2020</w:t>
            </w:r>
            <w:r w:rsidR="00725E9E">
              <w:rPr>
                <w:rFonts w:ascii="Arial" w:hAnsi="Arial" w:cs="Arial"/>
                <w:bCs/>
                <w:iCs/>
                <w:sz w:val="22"/>
                <w:szCs w:val="22"/>
              </w:rPr>
              <w:t>.</w:t>
            </w:r>
          </w:p>
        </w:tc>
        <w:tc>
          <w:tcPr>
            <w:tcW w:w="992" w:type="dxa"/>
            <w:tcBorders>
              <w:bottom w:val="single" w:sz="4" w:space="0" w:color="auto"/>
            </w:tcBorders>
            <w:shd w:val="clear" w:color="auto" w:fill="00B050"/>
          </w:tcPr>
          <w:p w14:paraId="0E969573" w14:textId="77777777" w:rsidR="00586390" w:rsidRDefault="00586390" w:rsidP="00586390">
            <w:pPr>
              <w:pStyle w:val="ListParagraph"/>
              <w:ind w:left="0"/>
              <w:jc w:val="center"/>
              <w:rPr>
                <w:rFonts w:ascii="Arial" w:hAnsi="Arial" w:cs="Arial"/>
                <w:sz w:val="20"/>
                <w:szCs w:val="20"/>
              </w:rPr>
            </w:pPr>
          </w:p>
          <w:p w14:paraId="41F01220" w14:textId="77777777" w:rsidR="00586390" w:rsidRDefault="00586390" w:rsidP="00586390">
            <w:pPr>
              <w:pStyle w:val="ListParagraph"/>
              <w:ind w:left="0"/>
              <w:jc w:val="center"/>
              <w:rPr>
                <w:rFonts w:ascii="Arial" w:hAnsi="Arial" w:cs="Arial"/>
                <w:sz w:val="20"/>
                <w:szCs w:val="20"/>
              </w:rPr>
            </w:pPr>
          </w:p>
          <w:p w14:paraId="31F43C0E" w14:textId="77777777" w:rsidR="00586390" w:rsidRDefault="00586390" w:rsidP="00586390">
            <w:pPr>
              <w:pStyle w:val="ListParagraph"/>
              <w:ind w:left="0"/>
              <w:jc w:val="center"/>
              <w:rPr>
                <w:rFonts w:ascii="Arial" w:hAnsi="Arial" w:cs="Arial"/>
                <w:sz w:val="20"/>
                <w:szCs w:val="20"/>
              </w:rPr>
            </w:pPr>
          </w:p>
          <w:p w14:paraId="01B0A42E" w14:textId="77777777" w:rsidR="00586390" w:rsidRDefault="00586390" w:rsidP="00586390">
            <w:pPr>
              <w:pStyle w:val="ListParagraph"/>
              <w:ind w:left="0"/>
              <w:jc w:val="center"/>
              <w:rPr>
                <w:rFonts w:ascii="Arial" w:hAnsi="Arial" w:cs="Arial"/>
                <w:sz w:val="20"/>
                <w:szCs w:val="20"/>
              </w:rPr>
            </w:pPr>
          </w:p>
          <w:p w14:paraId="709729F0" w14:textId="4DF11A79" w:rsidR="00586390" w:rsidRPr="00201FAC" w:rsidRDefault="000B7F64" w:rsidP="00586390">
            <w:pPr>
              <w:pStyle w:val="ListParagraph"/>
              <w:ind w:left="0"/>
              <w:jc w:val="center"/>
              <w:rPr>
                <w:rFonts w:ascii="Arial" w:hAnsi="Arial" w:cs="Arial"/>
                <w:sz w:val="20"/>
                <w:szCs w:val="20"/>
              </w:rPr>
            </w:pPr>
            <w:r>
              <w:rPr>
                <w:rFonts w:ascii="Arial" w:hAnsi="Arial" w:cs="Arial"/>
                <w:sz w:val="20"/>
                <w:szCs w:val="20"/>
              </w:rPr>
              <w:t>G</w:t>
            </w:r>
          </w:p>
        </w:tc>
      </w:tr>
    </w:tbl>
    <w:bookmarkEnd w:id="0"/>
    <w:p w14:paraId="47ABED0F" w14:textId="2D9BDDCC" w:rsidR="00586390" w:rsidRDefault="00D36659" w:rsidP="00725E9E">
      <w:pPr>
        <w:ind w:left="10800" w:firstLine="720"/>
        <w:rPr>
          <w:rFonts w:ascii="Arial" w:hAnsi="Arial" w:cs="Arial"/>
          <w:b/>
          <w:sz w:val="19"/>
          <w:szCs w:val="19"/>
        </w:rPr>
      </w:pPr>
      <w:r>
        <w:rPr>
          <w:rFonts w:ascii="Arial" w:hAnsi="Arial" w:cs="Arial"/>
          <w:b/>
          <w:sz w:val="20"/>
          <w:szCs w:val="20"/>
        </w:rPr>
        <w:t xml:space="preserve">Updated </w:t>
      </w:r>
      <w:r w:rsidR="00C01F18">
        <w:rPr>
          <w:rFonts w:ascii="Arial" w:hAnsi="Arial" w:cs="Arial"/>
          <w:b/>
          <w:sz w:val="20"/>
          <w:szCs w:val="20"/>
        </w:rPr>
        <w:t>16</w:t>
      </w:r>
      <w:r>
        <w:rPr>
          <w:rFonts w:ascii="Arial" w:hAnsi="Arial" w:cs="Arial"/>
          <w:b/>
          <w:sz w:val="20"/>
          <w:szCs w:val="20"/>
        </w:rPr>
        <w:t>.</w:t>
      </w:r>
      <w:r w:rsidR="001E4C3D">
        <w:rPr>
          <w:rFonts w:ascii="Arial" w:hAnsi="Arial" w:cs="Arial"/>
          <w:b/>
          <w:sz w:val="20"/>
          <w:szCs w:val="20"/>
        </w:rPr>
        <w:t>0</w:t>
      </w:r>
      <w:r w:rsidR="00C01F18">
        <w:rPr>
          <w:rFonts w:ascii="Arial" w:hAnsi="Arial" w:cs="Arial"/>
          <w:b/>
          <w:sz w:val="20"/>
          <w:szCs w:val="20"/>
        </w:rPr>
        <w:t>8</w:t>
      </w:r>
      <w:r>
        <w:rPr>
          <w:rFonts w:ascii="Arial" w:hAnsi="Arial" w:cs="Arial"/>
          <w:b/>
          <w:sz w:val="20"/>
          <w:szCs w:val="20"/>
        </w:rPr>
        <w:t>.</w:t>
      </w:r>
      <w:r w:rsidR="00015018">
        <w:rPr>
          <w:rFonts w:ascii="Arial" w:hAnsi="Arial" w:cs="Arial"/>
          <w:b/>
          <w:sz w:val="20"/>
          <w:szCs w:val="20"/>
        </w:rPr>
        <w:t>202</w:t>
      </w:r>
      <w:r w:rsidR="001E4C3D">
        <w:rPr>
          <w:rFonts w:ascii="Arial" w:hAnsi="Arial" w:cs="Arial"/>
          <w:b/>
          <w:sz w:val="20"/>
          <w:szCs w:val="20"/>
        </w:rPr>
        <w:t>1</w:t>
      </w:r>
      <w:r w:rsidR="00BB2C10">
        <w:rPr>
          <w:rFonts w:ascii="Arial" w:hAnsi="Arial" w:cs="Arial"/>
          <w:b/>
          <w:sz w:val="20"/>
          <w:szCs w:val="20"/>
        </w:rPr>
        <w:t xml:space="preserve"> </w:t>
      </w:r>
    </w:p>
    <w:p w14:paraId="29B238CF" w14:textId="77777777" w:rsidR="00586390" w:rsidRDefault="00586390" w:rsidP="00CB2BD4">
      <w:pPr>
        <w:rPr>
          <w:rFonts w:ascii="Arial" w:hAnsi="Arial" w:cs="Arial"/>
          <w:b/>
          <w:sz w:val="19"/>
          <w:szCs w:val="19"/>
        </w:rPr>
      </w:pPr>
    </w:p>
    <w:tbl>
      <w:tblPr>
        <w:tblStyle w:val="TableGrid"/>
        <w:tblW w:w="0" w:type="auto"/>
        <w:tblLook w:val="04A0" w:firstRow="1" w:lastRow="0" w:firstColumn="1" w:lastColumn="0" w:noHBand="0" w:noVBand="1"/>
      </w:tblPr>
      <w:tblGrid>
        <w:gridCol w:w="2122"/>
        <w:gridCol w:w="2976"/>
        <w:gridCol w:w="1985"/>
        <w:gridCol w:w="7760"/>
      </w:tblGrid>
      <w:tr w:rsidR="00586390" w:rsidRPr="00586390" w14:paraId="75307B25" w14:textId="77777777" w:rsidTr="00725E9E">
        <w:tc>
          <w:tcPr>
            <w:tcW w:w="5098" w:type="dxa"/>
            <w:gridSpan w:val="2"/>
          </w:tcPr>
          <w:p w14:paraId="353A35B1" w14:textId="77777777" w:rsidR="00586390" w:rsidRPr="00586390" w:rsidRDefault="00586390" w:rsidP="00CB2BD4">
            <w:pPr>
              <w:rPr>
                <w:rFonts w:ascii="Arial" w:hAnsi="Arial" w:cs="Arial"/>
                <w:b/>
                <w:sz w:val="22"/>
                <w:szCs w:val="22"/>
              </w:rPr>
            </w:pPr>
            <w:r w:rsidRPr="00586390">
              <w:rPr>
                <w:rFonts w:ascii="Arial" w:hAnsi="Arial" w:cs="Arial"/>
                <w:b/>
                <w:sz w:val="22"/>
                <w:szCs w:val="22"/>
              </w:rPr>
              <w:t>Key to RAG ratings:</w:t>
            </w:r>
          </w:p>
        </w:tc>
        <w:tc>
          <w:tcPr>
            <w:tcW w:w="9745" w:type="dxa"/>
            <w:gridSpan w:val="2"/>
          </w:tcPr>
          <w:p w14:paraId="152A8EA3" w14:textId="77777777" w:rsidR="00586390" w:rsidRDefault="00586390" w:rsidP="00CB2BD4">
            <w:pPr>
              <w:rPr>
                <w:rFonts w:ascii="Arial" w:hAnsi="Arial" w:cs="Arial"/>
                <w:b/>
                <w:sz w:val="22"/>
                <w:szCs w:val="22"/>
              </w:rPr>
            </w:pPr>
            <w:r w:rsidRPr="00586390">
              <w:rPr>
                <w:rFonts w:ascii="Arial" w:hAnsi="Arial" w:cs="Arial"/>
                <w:b/>
                <w:sz w:val="22"/>
                <w:szCs w:val="22"/>
              </w:rPr>
              <w:t>Key to acronyms/abbreviations used:</w:t>
            </w:r>
          </w:p>
          <w:p w14:paraId="1CAEB3B2" w14:textId="77777777" w:rsidR="00586390" w:rsidRPr="00586390" w:rsidRDefault="00586390" w:rsidP="00CB2BD4">
            <w:pPr>
              <w:rPr>
                <w:rFonts w:ascii="Arial" w:hAnsi="Arial" w:cs="Arial"/>
                <w:b/>
                <w:sz w:val="22"/>
                <w:szCs w:val="22"/>
              </w:rPr>
            </w:pPr>
          </w:p>
        </w:tc>
      </w:tr>
      <w:tr w:rsidR="00A744CD" w:rsidRPr="00586390" w14:paraId="2B55F98F" w14:textId="77777777" w:rsidTr="00725E9E">
        <w:tc>
          <w:tcPr>
            <w:tcW w:w="2122" w:type="dxa"/>
            <w:shd w:val="clear" w:color="auto" w:fill="00B050"/>
          </w:tcPr>
          <w:p w14:paraId="5FF11F38" w14:textId="77777777" w:rsidR="00A744CD" w:rsidRPr="00586390" w:rsidRDefault="00A744CD" w:rsidP="00CB2BD4">
            <w:pPr>
              <w:rPr>
                <w:rFonts w:ascii="Arial" w:hAnsi="Arial" w:cs="Arial"/>
                <w:b/>
                <w:sz w:val="22"/>
                <w:szCs w:val="22"/>
              </w:rPr>
            </w:pPr>
            <w:r w:rsidRPr="00586390">
              <w:rPr>
                <w:rFonts w:ascii="Arial" w:hAnsi="Arial" w:cs="Arial"/>
                <w:b/>
                <w:sz w:val="22"/>
                <w:szCs w:val="22"/>
              </w:rPr>
              <w:t>Green:</w:t>
            </w:r>
          </w:p>
        </w:tc>
        <w:tc>
          <w:tcPr>
            <w:tcW w:w="2976" w:type="dxa"/>
          </w:tcPr>
          <w:p w14:paraId="40478D06" w14:textId="75D4DDB4" w:rsidR="00725E9E" w:rsidRPr="00586390" w:rsidRDefault="00A744CD" w:rsidP="00CB2BD4">
            <w:pPr>
              <w:rPr>
                <w:rFonts w:ascii="Arial" w:hAnsi="Arial" w:cs="Arial"/>
                <w:sz w:val="22"/>
                <w:szCs w:val="22"/>
              </w:rPr>
            </w:pPr>
            <w:r w:rsidRPr="00586390">
              <w:rPr>
                <w:rFonts w:ascii="Arial" w:hAnsi="Arial" w:cs="Arial"/>
                <w:sz w:val="22"/>
                <w:szCs w:val="22"/>
              </w:rPr>
              <w:t xml:space="preserve">Objective completed </w:t>
            </w:r>
          </w:p>
        </w:tc>
        <w:tc>
          <w:tcPr>
            <w:tcW w:w="1985" w:type="dxa"/>
          </w:tcPr>
          <w:p w14:paraId="13F9E551" w14:textId="77777777" w:rsidR="00A744CD" w:rsidRPr="00586390" w:rsidRDefault="00A744CD" w:rsidP="00CB2BD4">
            <w:pPr>
              <w:rPr>
                <w:rFonts w:ascii="Arial" w:hAnsi="Arial" w:cs="Arial"/>
                <w:b/>
                <w:sz w:val="22"/>
                <w:szCs w:val="22"/>
              </w:rPr>
            </w:pPr>
            <w:r w:rsidRPr="00586390">
              <w:rPr>
                <w:rFonts w:ascii="Arial" w:hAnsi="Arial" w:cs="Arial"/>
                <w:b/>
                <w:sz w:val="22"/>
                <w:szCs w:val="22"/>
              </w:rPr>
              <w:t xml:space="preserve">ASCH:   </w:t>
            </w:r>
          </w:p>
        </w:tc>
        <w:tc>
          <w:tcPr>
            <w:tcW w:w="7760" w:type="dxa"/>
          </w:tcPr>
          <w:p w14:paraId="74DF0880" w14:textId="77777777" w:rsidR="00A744CD" w:rsidRPr="00586390" w:rsidRDefault="00A744CD" w:rsidP="00CB2BD4">
            <w:pPr>
              <w:rPr>
                <w:rFonts w:ascii="Arial" w:hAnsi="Arial" w:cs="Arial"/>
                <w:b/>
                <w:sz w:val="22"/>
                <w:szCs w:val="22"/>
              </w:rPr>
            </w:pPr>
            <w:r w:rsidRPr="00586390">
              <w:rPr>
                <w:rFonts w:ascii="Arial" w:hAnsi="Arial" w:cs="Arial"/>
                <w:sz w:val="22"/>
                <w:szCs w:val="22"/>
              </w:rPr>
              <w:t>Adult Social Care and Health</w:t>
            </w:r>
          </w:p>
        </w:tc>
      </w:tr>
      <w:tr w:rsidR="00586390" w:rsidRPr="00586390" w14:paraId="60F12DC7" w14:textId="77777777" w:rsidTr="00725E9E">
        <w:tc>
          <w:tcPr>
            <w:tcW w:w="2122" w:type="dxa"/>
            <w:shd w:val="clear" w:color="auto" w:fill="FFC000"/>
          </w:tcPr>
          <w:p w14:paraId="1C539B86" w14:textId="77777777" w:rsidR="00586390" w:rsidRPr="00586390" w:rsidRDefault="00586390" w:rsidP="00586390">
            <w:pPr>
              <w:rPr>
                <w:rFonts w:ascii="Arial" w:hAnsi="Arial" w:cs="Arial"/>
                <w:b/>
                <w:sz w:val="22"/>
                <w:szCs w:val="22"/>
              </w:rPr>
            </w:pPr>
            <w:r w:rsidRPr="00586390">
              <w:rPr>
                <w:rFonts w:ascii="Arial" w:hAnsi="Arial" w:cs="Arial"/>
                <w:b/>
                <w:sz w:val="22"/>
                <w:szCs w:val="22"/>
              </w:rPr>
              <w:t>Amber:</w:t>
            </w:r>
          </w:p>
        </w:tc>
        <w:tc>
          <w:tcPr>
            <w:tcW w:w="2976" w:type="dxa"/>
          </w:tcPr>
          <w:p w14:paraId="4E821C7A" w14:textId="77777777" w:rsidR="00586390" w:rsidRPr="00586390" w:rsidRDefault="00586390" w:rsidP="00586390">
            <w:pPr>
              <w:rPr>
                <w:rFonts w:ascii="Arial" w:hAnsi="Arial" w:cs="Arial"/>
                <w:b/>
                <w:sz w:val="22"/>
                <w:szCs w:val="22"/>
              </w:rPr>
            </w:pPr>
            <w:r w:rsidRPr="00586390">
              <w:rPr>
                <w:rFonts w:ascii="Arial" w:hAnsi="Arial" w:cs="Arial"/>
                <w:sz w:val="22"/>
                <w:szCs w:val="22"/>
              </w:rPr>
              <w:t>Work in progress / further actions planned or required</w:t>
            </w:r>
          </w:p>
        </w:tc>
        <w:tc>
          <w:tcPr>
            <w:tcW w:w="1985" w:type="dxa"/>
          </w:tcPr>
          <w:p w14:paraId="708B4205" w14:textId="77777777" w:rsidR="00586390" w:rsidRPr="00586390" w:rsidRDefault="00586390" w:rsidP="00586390">
            <w:pPr>
              <w:rPr>
                <w:rFonts w:ascii="Arial" w:hAnsi="Arial" w:cs="Arial"/>
                <w:b/>
                <w:sz w:val="22"/>
                <w:szCs w:val="22"/>
              </w:rPr>
            </w:pPr>
            <w:r w:rsidRPr="00586390">
              <w:rPr>
                <w:rFonts w:ascii="Arial" w:hAnsi="Arial" w:cs="Arial"/>
                <w:b/>
                <w:sz w:val="22"/>
                <w:szCs w:val="22"/>
              </w:rPr>
              <w:t>ESSCP:</w:t>
            </w:r>
          </w:p>
        </w:tc>
        <w:tc>
          <w:tcPr>
            <w:tcW w:w="7760" w:type="dxa"/>
          </w:tcPr>
          <w:p w14:paraId="2970A185" w14:textId="77777777" w:rsidR="00586390" w:rsidRPr="00586390" w:rsidRDefault="00586390" w:rsidP="00586390">
            <w:pPr>
              <w:rPr>
                <w:rFonts w:ascii="Arial" w:hAnsi="Arial" w:cs="Arial"/>
                <w:sz w:val="22"/>
                <w:szCs w:val="22"/>
              </w:rPr>
            </w:pPr>
            <w:r w:rsidRPr="00586390">
              <w:rPr>
                <w:rFonts w:ascii="Arial" w:hAnsi="Arial" w:cs="Arial"/>
                <w:sz w:val="22"/>
                <w:szCs w:val="22"/>
              </w:rPr>
              <w:t>East Sussex Safeguarding Children Partnership</w:t>
            </w:r>
          </w:p>
        </w:tc>
      </w:tr>
      <w:tr w:rsidR="00586390" w:rsidRPr="00586390" w14:paraId="3810D03A" w14:textId="77777777" w:rsidTr="00725E9E">
        <w:tc>
          <w:tcPr>
            <w:tcW w:w="2122" w:type="dxa"/>
            <w:shd w:val="clear" w:color="auto" w:fill="FF0000"/>
          </w:tcPr>
          <w:p w14:paraId="1F76098E" w14:textId="77777777" w:rsidR="00586390" w:rsidRPr="00586390" w:rsidRDefault="00586390" w:rsidP="00586390">
            <w:pPr>
              <w:rPr>
                <w:rFonts w:ascii="Arial" w:hAnsi="Arial" w:cs="Arial"/>
                <w:b/>
                <w:sz w:val="22"/>
                <w:szCs w:val="22"/>
              </w:rPr>
            </w:pPr>
            <w:r w:rsidRPr="00586390">
              <w:rPr>
                <w:rFonts w:ascii="Arial" w:hAnsi="Arial" w:cs="Arial"/>
                <w:b/>
                <w:sz w:val="22"/>
                <w:szCs w:val="22"/>
              </w:rPr>
              <w:t>Red:</w:t>
            </w:r>
          </w:p>
        </w:tc>
        <w:tc>
          <w:tcPr>
            <w:tcW w:w="2976" w:type="dxa"/>
          </w:tcPr>
          <w:p w14:paraId="0E595366" w14:textId="77777777" w:rsidR="00586390" w:rsidRPr="00586390" w:rsidRDefault="00586390" w:rsidP="00586390">
            <w:pPr>
              <w:rPr>
                <w:rFonts w:ascii="Arial" w:hAnsi="Arial" w:cs="Arial"/>
                <w:b/>
                <w:sz w:val="22"/>
                <w:szCs w:val="22"/>
              </w:rPr>
            </w:pPr>
            <w:r w:rsidRPr="00586390">
              <w:rPr>
                <w:rFonts w:ascii="Arial" w:hAnsi="Arial" w:cs="Arial"/>
                <w:sz w:val="22"/>
                <w:szCs w:val="22"/>
              </w:rPr>
              <w:t>Objective not completed or action not meeting target</w:t>
            </w:r>
          </w:p>
        </w:tc>
        <w:tc>
          <w:tcPr>
            <w:tcW w:w="1985" w:type="dxa"/>
          </w:tcPr>
          <w:p w14:paraId="13E1161F" w14:textId="77777777" w:rsidR="00586390" w:rsidRPr="00586390" w:rsidRDefault="00586390" w:rsidP="00586390">
            <w:pPr>
              <w:rPr>
                <w:rFonts w:ascii="Arial" w:hAnsi="Arial" w:cs="Arial"/>
                <w:b/>
                <w:sz w:val="22"/>
                <w:szCs w:val="22"/>
              </w:rPr>
            </w:pPr>
            <w:r w:rsidRPr="00586390">
              <w:rPr>
                <w:rFonts w:ascii="Arial" w:hAnsi="Arial" w:cs="Arial"/>
                <w:b/>
                <w:sz w:val="22"/>
                <w:szCs w:val="22"/>
              </w:rPr>
              <w:t xml:space="preserve">MSP:     </w:t>
            </w:r>
          </w:p>
        </w:tc>
        <w:tc>
          <w:tcPr>
            <w:tcW w:w="7760" w:type="dxa"/>
          </w:tcPr>
          <w:p w14:paraId="3D1A613A" w14:textId="77777777" w:rsidR="00586390" w:rsidRPr="00586390" w:rsidRDefault="00586390" w:rsidP="00586390">
            <w:pPr>
              <w:rPr>
                <w:rFonts w:ascii="Arial" w:hAnsi="Arial" w:cs="Arial"/>
                <w:sz w:val="22"/>
                <w:szCs w:val="22"/>
              </w:rPr>
            </w:pPr>
            <w:r w:rsidRPr="00586390">
              <w:rPr>
                <w:rFonts w:ascii="Arial" w:hAnsi="Arial" w:cs="Arial"/>
                <w:sz w:val="22"/>
                <w:szCs w:val="22"/>
              </w:rPr>
              <w:t>Making Safeguarding Personal</w:t>
            </w:r>
          </w:p>
        </w:tc>
      </w:tr>
      <w:tr w:rsidR="00586390" w:rsidRPr="00586390" w14:paraId="05692655" w14:textId="77777777" w:rsidTr="00725E9E">
        <w:tc>
          <w:tcPr>
            <w:tcW w:w="2122" w:type="dxa"/>
          </w:tcPr>
          <w:p w14:paraId="781118F5" w14:textId="77777777" w:rsidR="00586390" w:rsidRPr="00586390" w:rsidRDefault="00586390" w:rsidP="00586390">
            <w:pPr>
              <w:rPr>
                <w:rFonts w:ascii="Arial" w:hAnsi="Arial" w:cs="Arial"/>
                <w:b/>
                <w:sz w:val="22"/>
                <w:szCs w:val="22"/>
              </w:rPr>
            </w:pPr>
          </w:p>
        </w:tc>
        <w:tc>
          <w:tcPr>
            <w:tcW w:w="2976" w:type="dxa"/>
          </w:tcPr>
          <w:p w14:paraId="42F771AE" w14:textId="77777777" w:rsidR="00586390" w:rsidRPr="00586390" w:rsidRDefault="00586390" w:rsidP="00586390">
            <w:pPr>
              <w:rPr>
                <w:rFonts w:ascii="Arial" w:hAnsi="Arial" w:cs="Arial"/>
                <w:b/>
                <w:sz w:val="22"/>
                <w:szCs w:val="22"/>
              </w:rPr>
            </w:pPr>
          </w:p>
        </w:tc>
        <w:tc>
          <w:tcPr>
            <w:tcW w:w="1985" w:type="dxa"/>
          </w:tcPr>
          <w:p w14:paraId="29D0F1A9" w14:textId="1AAF2431" w:rsidR="00586390" w:rsidRPr="00586390" w:rsidRDefault="00586390" w:rsidP="00586390">
            <w:pPr>
              <w:rPr>
                <w:rFonts w:ascii="Arial" w:hAnsi="Arial" w:cs="Arial"/>
                <w:b/>
                <w:sz w:val="22"/>
                <w:szCs w:val="22"/>
              </w:rPr>
            </w:pPr>
            <w:r w:rsidRPr="00586390">
              <w:rPr>
                <w:rFonts w:ascii="Arial" w:hAnsi="Arial" w:cs="Arial"/>
                <w:b/>
                <w:sz w:val="22"/>
                <w:szCs w:val="22"/>
              </w:rPr>
              <w:t xml:space="preserve">OP:       </w:t>
            </w:r>
          </w:p>
        </w:tc>
        <w:tc>
          <w:tcPr>
            <w:tcW w:w="7760" w:type="dxa"/>
          </w:tcPr>
          <w:p w14:paraId="4FD3A4E1" w14:textId="4C0C3322" w:rsidR="00586390" w:rsidRPr="00586390" w:rsidRDefault="00586390" w:rsidP="00586390">
            <w:pPr>
              <w:rPr>
                <w:rFonts w:ascii="Arial" w:hAnsi="Arial" w:cs="Arial"/>
                <w:sz w:val="22"/>
                <w:szCs w:val="22"/>
              </w:rPr>
            </w:pPr>
            <w:r w:rsidRPr="00586390">
              <w:rPr>
                <w:rFonts w:ascii="Arial" w:hAnsi="Arial" w:cs="Arial"/>
                <w:sz w:val="22"/>
                <w:szCs w:val="22"/>
              </w:rPr>
              <w:t>Operational Practice</w:t>
            </w:r>
            <w:r w:rsidR="00526932">
              <w:rPr>
                <w:rFonts w:ascii="Arial" w:hAnsi="Arial" w:cs="Arial"/>
                <w:sz w:val="22"/>
                <w:szCs w:val="22"/>
              </w:rPr>
              <w:t xml:space="preserve"> </w:t>
            </w:r>
          </w:p>
        </w:tc>
      </w:tr>
      <w:tr w:rsidR="00A744CD" w:rsidRPr="00586390" w14:paraId="09E8CBD4" w14:textId="77777777" w:rsidTr="00725E9E">
        <w:tc>
          <w:tcPr>
            <w:tcW w:w="2122" w:type="dxa"/>
          </w:tcPr>
          <w:p w14:paraId="2DF02F25" w14:textId="77777777" w:rsidR="00A744CD" w:rsidRPr="00586390" w:rsidRDefault="00A744CD" w:rsidP="00CB2BD4">
            <w:pPr>
              <w:rPr>
                <w:rFonts w:ascii="Arial" w:hAnsi="Arial" w:cs="Arial"/>
                <w:b/>
                <w:sz w:val="22"/>
                <w:szCs w:val="22"/>
              </w:rPr>
            </w:pPr>
          </w:p>
        </w:tc>
        <w:tc>
          <w:tcPr>
            <w:tcW w:w="2976" w:type="dxa"/>
          </w:tcPr>
          <w:p w14:paraId="724D74FB" w14:textId="77777777" w:rsidR="00A744CD" w:rsidRPr="00586390" w:rsidRDefault="00A744CD" w:rsidP="00CB2BD4">
            <w:pPr>
              <w:rPr>
                <w:rFonts w:ascii="Arial" w:hAnsi="Arial" w:cs="Arial"/>
                <w:b/>
                <w:sz w:val="22"/>
                <w:szCs w:val="22"/>
              </w:rPr>
            </w:pPr>
          </w:p>
        </w:tc>
        <w:tc>
          <w:tcPr>
            <w:tcW w:w="1985" w:type="dxa"/>
          </w:tcPr>
          <w:p w14:paraId="208DB985" w14:textId="77777777" w:rsidR="00A744CD" w:rsidRPr="00586390" w:rsidRDefault="00A744CD" w:rsidP="00CB2BD4">
            <w:pPr>
              <w:rPr>
                <w:rFonts w:ascii="Arial" w:hAnsi="Arial" w:cs="Arial"/>
                <w:b/>
                <w:sz w:val="22"/>
                <w:szCs w:val="22"/>
              </w:rPr>
            </w:pPr>
            <w:r w:rsidRPr="00586390">
              <w:rPr>
                <w:rFonts w:ascii="Arial" w:hAnsi="Arial" w:cs="Arial"/>
                <w:b/>
                <w:sz w:val="22"/>
                <w:szCs w:val="22"/>
              </w:rPr>
              <w:t xml:space="preserve">PQA:    </w:t>
            </w:r>
          </w:p>
        </w:tc>
        <w:tc>
          <w:tcPr>
            <w:tcW w:w="7760" w:type="dxa"/>
          </w:tcPr>
          <w:p w14:paraId="7812F25D" w14:textId="77777777" w:rsidR="00A744CD" w:rsidRPr="00586390" w:rsidRDefault="00A744CD" w:rsidP="00CB2BD4">
            <w:pPr>
              <w:rPr>
                <w:rFonts w:ascii="Arial" w:hAnsi="Arial" w:cs="Arial"/>
                <w:sz w:val="22"/>
                <w:szCs w:val="22"/>
              </w:rPr>
            </w:pPr>
            <w:r w:rsidRPr="00586390">
              <w:rPr>
                <w:rFonts w:ascii="Arial" w:hAnsi="Arial" w:cs="Arial"/>
                <w:sz w:val="22"/>
                <w:szCs w:val="22"/>
              </w:rPr>
              <w:t>Performance and Quality Assurance</w:t>
            </w:r>
          </w:p>
        </w:tc>
      </w:tr>
      <w:tr w:rsidR="00A744CD" w:rsidRPr="00586390" w14:paraId="0ABBD9A7" w14:textId="77777777" w:rsidTr="00725E9E">
        <w:tc>
          <w:tcPr>
            <w:tcW w:w="2122" w:type="dxa"/>
          </w:tcPr>
          <w:p w14:paraId="42E0492D" w14:textId="77777777" w:rsidR="00A744CD" w:rsidRPr="00586390" w:rsidRDefault="00A744CD" w:rsidP="00CB2BD4">
            <w:pPr>
              <w:rPr>
                <w:rFonts w:ascii="Arial" w:hAnsi="Arial" w:cs="Arial"/>
                <w:b/>
                <w:sz w:val="22"/>
                <w:szCs w:val="22"/>
              </w:rPr>
            </w:pPr>
          </w:p>
        </w:tc>
        <w:tc>
          <w:tcPr>
            <w:tcW w:w="2976" w:type="dxa"/>
          </w:tcPr>
          <w:p w14:paraId="31640FED" w14:textId="77777777" w:rsidR="00A744CD" w:rsidRPr="00586390" w:rsidRDefault="00A744CD" w:rsidP="00CB2BD4">
            <w:pPr>
              <w:rPr>
                <w:rFonts w:ascii="Arial" w:hAnsi="Arial" w:cs="Arial"/>
                <w:b/>
                <w:sz w:val="22"/>
                <w:szCs w:val="22"/>
              </w:rPr>
            </w:pPr>
          </w:p>
        </w:tc>
        <w:tc>
          <w:tcPr>
            <w:tcW w:w="1985" w:type="dxa"/>
          </w:tcPr>
          <w:p w14:paraId="66C3C2FF" w14:textId="77777777" w:rsidR="00A744CD" w:rsidRPr="00586390" w:rsidRDefault="00A744CD" w:rsidP="00CB2BD4">
            <w:pPr>
              <w:rPr>
                <w:rFonts w:ascii="Arial" w:hAnsi="Arial" w:cs="Arial"/>
                <w:b/>
                <w:sz w:val="22"/>
                <w:szCs w:val="22"/>
              </w:rPr>
            </w:pPr>
            <w:r w:rsidRPr="00586390">
              <w:rPr>
                <w:rFonts w:ascii="Arial" w:hAnsi="Arial" w:cs="Arial"/>
                <w:b/>
                <w:sz w:val="22"/>
                <w:szCs w:val="22"/>
              </w:rPr>
              <w:t>SAB:</w:t>
            </w:r>
          </w:p>
        </w:tc>
        <w:tc>
          <w:tcPr>
            <w:tcW w:w="7760" w:type="dxa"/>
          </w:tcPr>
          <w:p w14:paraId="7F1CB0E9" w14:textId="77777777" w:rsidR="00A744CD" w:rsidRPr="00586390" w:rsidRDefault="00A744CD" w:rsidP="00CB2BD4">
            <w:pPr>
              <w:rPr>
                <w:rFonts w:ascii="Arial" w:hAnsi="Arial" w:cs="Arial"/>
                <w:sz w:val="22"/>
                <w:szCs w:val="22"/>
              </w:rPr>
            </w:pPr>
            <w:r w:rsidRPr="00586390">
              <w:rPr>
                <w:rFonts w:ascii="Arial" w:hAnsi="Arial" w:cs="Arial"/>
                <w:sz w:val="22"/>
                <w:szCs w:val="22"/>
              </w:rPr>
              <w:t>Safeguarding Adults Board</w:t>
            </w:r>
          </w:p>
        </w:tc>
      </w:tr>
      <w:tr w:rsidR="00A744CD" w:rsidRPr="00586390" w14:paraId="1AB794C5" w14:textId="77777777" w:rsidTr="00725E9E">
        <w:tc>
          <w:tcPr>
            <w:tcW w:w="2122" w:type="dxa"/>
          </w:tcPr>
          <w:p w14:paraId="63998AA5" w14:textId="77777777" w:rsidR="00A744CD" w:rsidRPr="00586390" w:rsidRDefault="00A744CD" w:rsidP="00CB2BD4">
            <w:pPr>
              <w:rPr>
                <w:rFonts w:ascii="Arial" w:hAnsi="Arial" w:cs="Arial"/>
                <w:b/>
                <w:sz w:val="22"/>
                <w:szCs w:val="22"/>
              </w:rPr>
            </w:pPr>
          </w:p>
        </w:tc>
        <w:tc>
          <w:tcPr>
            <w:tcW w:w="2976" w:type="dxa"/>
          </w:tcPr>
          <w:p w14:paraId="1468D7E0" w14:textId="77777777" w:rsidR="00A744CD" w:rsidRPr="00586390" w:rsidRDefault="00A744CD" w:rsidP="00CB2BD4">
            <w:pPr>
              <w:rPr>
                <w:rFonts w:ascii="Arial" w:hAnsi="Arial" w:cs="Arial"/>
                <w:b/>
                <w:sz w:val="22"/>
                <w:szCs w:val="22"/>
              </w:rPr>
            </w:pPr>
          </w:p>
        </w:tc>
        <w:tc>
          <w:tcPr>
            <w:tcW w:w="1985" w:type="dxa"/>
          </w:tcPr>
          <w:p w14:paraId="152E707D" w14:textId="77777777" w:rsidR="00A744CD" w:rsidRPr="00586390" w:rsidRDefault="00280199" w:rsidP="00CB2BD4">
            <w:pPr>
              <w:rPr>
                <w:rFonts w:ascii="Arial" w:hAnsi="Arial" w:cs="Arial"/>
                <w:b/>
                <w:sz w:val="22"/>
                <w:szCs w:val="22"/>
              </w:rPr>
            </w:pPr>
            <w:r w:rsidRPr="00586390">
              <w:rPr>
                <w:rFonts w:ascii="Arial" w:hAnsi="Arial" w:cs="Arial"/>
                <w:b/>
                <w:sz w:val="22"/>
                <w:szCs w:val="22"/>
              </w:rPr>
              <w:t>SAR:</w:t>
            </w:r>
          </w:p>
        </w:tc>
        <w:tc>
          <w:tcPr>
            <w:tcW w:w="7760" w:type="dxa"/>
          </w:tcPr>
          <w:p w14:paraId="319E2328" w14:textId="77777777" w:rsidR="00A744CD" w:rsidRPr="00586390" w:rsidRDefault="00280199" w:rsidP="00CB2BD4">
            <w:pPr>
              <w:rPr>
                <w:rFonts w:ascii="Arial" w:hAnsi="Arial" w:cs="Arial"/>
                <w:sz w:val="22"/>
                <w:szCs w:val="22"/>
              </w:rPr>
            </w:pPr>
            <w:r w:rsidRPr="00586390">
              <w:rPr>
                <w:rFonts w:ascii="Arial" w:hAnsi="Arial" w:cs="Arial"/>
                <w:sz w:val="22"/>
                <w:szCs w:val="22"/>
              </w:rPr>
              <w:t>Safeguarding Adults Review</w:t>
            </w:r>
          </w:p>
        </w:tc>
      </w:tr>
      <w:tr w:rsidR="00280199" w:rsidRPr="00586390" w14:paraId="54EA4537" w14:textId="77777777" w:rsidTr="00725E9E">
        <w:tc>
          <w:tcPr>
            <w:tcW w:w="2122" w:type="dxa"/>
          </w:tcPr>
          <w:p w14:paraId="0FD2F7E0" w14:textId="77777777" w:rsidR="00280199" w:rsidRPr="00586390" w:rsidRDefault="00280199" w:rsidP="00CB2BD4">
            <w:pPr>
              <w:rPr>
                <w:rFonts w:ascii="Arial" w:hAnsi="Arial" w:cs="Arial"/>
                <w:b/>
                <w:sz w:val="22"/>
                <w:szCs w:val="22"/>
              </w:rPr>
            </w:pPr>
          </w:p>
        </w:tc>
        <w:tc>
          <w:tcPr>
            <w:tcW w:w="2976" w:type="dxa"/>
          </w:tcPr>
          <w:p w14:paraId="2B7C0998" w14:textId="77777777" w:rsidR="00280199" w:rsidRPr="00586390" w:rsidRDefault="00280199" w:rsidP="00CB2BD4">
            <w:pPr>
              <w:rPr>
                <w:rFonts w:ascii="Arial" w:hAnsi="Arial" w:cs="Arial"/>
                <w:b/>
                <w:sz w:val="22"/>
                <w:szCs w:val="22"/>
              </w:rPr>
            </w:pPr>
          </w:p>
        </w:tc>
        <w:tc>
          <w:tcPr>
            <w:tcW w:w="1985" w:type="dxa"/>
          </w:tcPr>
          <w:p w14:paraId="5088CF0E" w14:textId="77777777" w:rsidR="00280199" w:rsidRPr="00586390" w:rsidRDefault="00280199" w:rsidP="00CB2BD4">
            <w:pPr>
              <w:rPr>
                <w:rFonts w:ascii="Arial" w:hAnsi="Arial" w:cs="Arial"/>
                <w:b/>
                <w:sz w:val="22"/>
                <w:szCs w:val="22"/>
              </w:rPr>
            </w:pPr>
            <w:r w:rsidRPr="00586390">
              <w:rPr>
                <w:rFonts w:ascii="Arial" w:hAnsi="Arial" w:cs="Arial"/>
                <w:b/>
                <w:sz w:val="22"/>
                <w:szCs w:val="22"/>
              </w:rPr>
              <w:t>SCN:</w:t>
            </w:r>
            <w:r w:rsidRPr="00586390">
              <w:rPr>
                <w:rFonts w:ascii="Arial" w:hAnsi="Arial" w:cs="Arial"/>
                <w:sz w:val="22"/>
                <w:szCs w:val="22"/>
              </w:rPr>
              <w:t xml:space="preserve">    </w:t>
            </w:r>
          </w:p>
        </w:tc>
        <w:tc>
          <w:tcPr>
            <w:tcW w:w="7760" w:type="dxa"/>
          </w:tcPr>
          <w:p w14:paraId="2B7C26D3" w14:textId="77777777" w:rsidR="00280199" w:rsidRPr="00586390" w:rsidRDefault="00280199" w:rsidP="00CB2BD4">
            <w:pPr>
              <w:rPr>
                <w:rFonts w:ascii="Arial" w:hAnsi="Arial" w:cs="Arial"/>
                <w:sz w:val="22"/>
                <w:szCs w:val="22"/>
              </w:rPr>
            </w:pPr>
            <w:r w:rsidRPr="00586390">
              <w:rPr>
                <w:rFonts w:ascii="Arial" w:hAnsi="Arial" w:cs="Arial"/>
                <w:sz w:val="22"/>
                <w:szCs w:val="22"/>
              </w:rPr>
              <w:t>Safeguarding Community Network</w:t>
            </w:r>
          </w:p>
        </w:tc>
      </w:tr>
      <w:tr w:rsidR="00A86075" w:rsidRPr="00586390" w14:paraId="0E4C664A" w14:textId="77777777" w:rsidTr="00725E9E">
        <w:tc>
          <w:tcPr>
            <w:tcW w:w="2122" w:type="dxa"/>
          </w:tcPr>
          <w:p w14:paraId="7A125C58" w14:textId="77777777" w:rsidR="00A86075" w:rsidRPr="00586390" w:rsidRDefault="00A86075" w:rsidP="00CB2BD4">
            <w:pPr>
              <w:rPr>
                <w:rFonts w:ascii="Arial" w:hAnsi="Arial" w:cs="Arial"/>
                <w:b/>
                <w:sz w:val="22"/>
                <w:szCs w:val="22"/>
              </w:rPr>
            </w:pPr>
          </w:p>
        </w:tc>
        <w:tc>
          <w:tcPr>
            <w:tcW w:w="2976" w:type="dxa"/>
          </w:tcPr>
          <w:p w14:paraId="2D6D8253" w14:textId="77777777" w:rsidR="00A86075" w:rsidRPr="00586390" w:rsidRDefault="00A86075" w:rsidP="00CB2BD4">
            <w:pPr>
              <w:rPr>
                <w:rFonts w:ascii="Arial" w:hAnsi="Arial" w:cs="Arial"/>
                <w:b/>
                <w:sz w:val="22"/>
                <w:szCs w:val="22"/>
              </w:rPr>
            </w:pPr>
          </w:p>
        </w:tc>
        <w:tc>
          <w:tcPr>
            <w:tcW w:w="1985" w:type="dxa"/>
          </w:tcPr>
          <w:p w14:paraId="5D2D626C" w14:textId="572906DA" w:rsidR="00A86075" w:rsidRPr="00586390" w:rsidRDefault="00A86075" w:rsidP="00CB2BD4">
            <w:pPr>
              <w:rPr>
                <w:rFonts w:ascii="Arial" w:hAnsi="Arial" w:cs="Arial"/>
                <w:b/>
                <w:sz w:val="22"/>
                <w:szCs w:val="22"/>
              </w:rPr>
            </w:pPr>
            <w:r>
              <w:rPr>
                <w:rFonts w:ascii="Arial" w:hAnsi="Arial" w:cs="Arial"/>
                <w:b/>
                <w:sz w:val="22"/>
                <w:szCs w:val="22"/>
              </w:rPr>
              <w:t>SDT:</w:t>
            </w:r>
          </w:p>
        </w:tc>
        <w:tc>
          <w:tcPr>
            <w:tcW w:w="7760" w:type="dxa"/>
          </w:tcPr>
          <w:p w14:paraId="3125B2E2" w14:textId="1E081DD2" w:rsidR="00A86075" w:rsidRPr="00586390" w:rsidRDefault="00A86075" w:rsidP="00CB2BD4">
            <w:pPr>
              <w:rPr>
                <w:rFonts w:ascii="Arial" w:hAnsi="Arial" w:cs="Arial"/>
                <w:sz w:val="22"/>
                <w:szCs w:val="22"/>
              </w:rPr>
            </w:pPr>
            <w:r>
              <w:rPr>
                <w:rFonts w:ascii="Arial" w:hAnsi="Arial" w:cs="Arial"/>
                <w:sz w:val="22"/>
                <w:szCs w:val="22"/>
              </w:rPr>
              <w:t>Safeguarding Development Team</w:t>
            </w:r>
          </w:p>
        </w:tc>
      </w:tr>
      <w:tr w:rsidR="00280199" w:rsidRPr="00586390" w14:paraId="1EDD4E3F" w14:textId="77777777" w:rsidTr="00725E9E">
        <w:tc>
          <w:tcPr>
            <w:tcW w:w="2122" w:type="dxa"/>
          </w:tcPr>
          <w:p w14:paraId="3A6E43A5" w14:textId="77777777" w:rsidR="00280199" w:rsidRPr="00586390" w:rsidRDefault="00280199" w:rsidP="00CB2BD4">
            <w:pPr>
              <w:rPr>
                <w:rFonts w:ascii="Arial" w:hAnsi="Arial" w:cs="Arial"/>
                <w:b/>
                <w:sz w:val="22"/>
                <w:szCs w:val="22"/>
              </w:rPr>
            </w:pPr>
          </w:p>
        </w:tc>
        <w:tc>
          <w:tcPr>
            <w:tcW w:w="2976" w:type="dxa"/>
          </w:tcPr>
          <w:p w14:paraId="3325E3AA" w14:textId="77777777" w:rsidR="00280199" w:rsidRPr="00586390" w:rsidRDefault="00280199" w:rsidP="00CB2BD4">
            <w:pPr>
              <w:rPr>
                <w:rFonts w:ascii="Arial" w:hAnsi="Arial" w:cs="Arial"/>
                <w:b/>
                <w:sz w:val="22"/>
                <w:szCs w:val="22"/>
              </w:rPr>
            </w:pPr>
          </w:p>
        </w:tc>
        <w:tc>
          <w:tcPr>
            <w:tcW w:w="1985" w:type="dxa"/>
          </w:tcPr>
          <w:p w14:paraId="4F9BB89D" w14:textId="77777777" w:rsidR="00280199" w:rsidRPr="00586390" w:rsidRDefault="00280199" w:rsidP="00280199">
            <w:pPr>
              <w:ind w:left="720" w:hanging="720"/>
              <w:rPr>
                <w:rFonts w:ascii="Arial" w:hAnsi="Arial" w:cs="Arial"/>
                <w:b/>
                <w:sz w:val="22"/>
                <w:szCs w:val="22"/>
              </w:rPr>
            </w:pPr>
            <w:r w:rsidRPr="00586390">
              <w:rPr>
                <w:rFonts w:ascii="Arial" w:hAnsi="Arial" w:cs="Arial"/>
                <w:b/>
                <w:sz w:val="22"/>
                <w:szCs w:val="22"/>
              </w:rPr>
              <w:t>TWD:</w:t>
            </w:r>
          </w:p>
        </w:tc>
        <w:tc>
          <w:tcPr>
            <w:tcW w:w="7760" w:type="dxa"/>
          </w:tcPr>
          <w:p w14:paraId="2406404B" w14:textId="048B5C2C" w:rsidR="00280199" w:rsidRPr="00586390" w:rsidRDefault="00280199" w:rsidP="00CB2BD4">
            <w:pPr>
              <w:rPr>
                <w:rFonts w:ascii="Arial" w:hAnsi="Arial" w:cs="Arial"/>
                <w:sz w:val="22"/>
                <w:szCs w:val="22"/>
              </w:rPr>
            </w:pPr>
            <w:r w:rsidRPr="00586390">
              <w:rPr>
                <w:rFonts w:ascii="Arial" w:hAnsi="Arial" w:cs="Arial"/>
                <w:sz w:val="22"/>
                <w:szCs w:val="22"/>
              </w:rPr>
              <w:t>Training and Workforce Development</w:t>
            </w:r>
            <w:r w:rsidR="00A744FD">
              <w:rPr>
                <w:rFonts w:ascii="Arial" w:hAnsi="Arial" w:cs="Arial"/>
                <w:sz w:val="22"/>
                <w:szCs w:val="22"/>
              </w:rPr>
              <w:t xml:space="preserve"> Subgroup</w:t>
            </w:r>
          </w:p>
        </w:tc>
      </w:tr>
    </w:tbl>
    <w:p w14:paraId="2B0F87ED" w14:textId="77777777" w:rsidR="00E12C20" w:rsidRPr="00586390" w:rsidRDefault="00E12C20" w:rsidP="00C01F18">
      <w:pPr>
        <w:rPr>
          <w:rFonts w:ascii="Arial" w:hAnsi="Arial" w:cs="Arial"/>
          <w:b/>
          <w:sz w:val="22"/>
          <w:szCs w:val="22"/>
        </w:rPr>
      </w:pPr>
    </w:p>
    <w:sectPr w:rsidR="00E12C20" w:rsidRPr="00586390" w:rsidSect="00E90B3D">
      <w:headerReference w:type="default" r:id="rId12"/>
      <w:footerReference w:type="default" r:id="rId13"/>
      <w:headerReference w:type="first" r:id="rId14"/>
      <w:pgSz w:w="16838" w:h="11906" w:orient="landscape"/>
      <w:pgMar w:top="567" w:right="851" w:bottom="510"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C342E" w14:textId="77777777" w:rsidR="007A3735" w:rsidRDefault="007A3735" w:rsidP="00543845">
      <w:r>
        <w:separator/>
      </w:r>
    </w:p>
  </w:endnote>
  <w:endnote w:type="continuationSeparator" w:id="0">
    <w:p w14:paraId="4BDF7F13" w14:textId="77777777" w:rsidR="007A3735" w:rsidRDefault="007A3735" w:rsidP="0054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A339" w14:textId="5401CE9D" w:rsidR="002C28BA" w:rsidRDefault="002C28BA" w:rsidP="00725E9E"/>
  <w:p w14:paraId="395276E8" w14:textId="77777777" w:rsidR="002C28BA" w:rsidRDefault="002C28BA" w:rsidP="00A26EB6">
    <w:pPr>
      <w:pStyle w:val="ListParagraph"/>
      <w:rPr>
        <w:rFonts w:ascii="Arial" w:hAnsi="Arial" w:cs="Arial"/>
        <w:sz w:val="22"/>
        <w:szCs w:val="22"/>
      </w:rPr>
    </w:pPr>
  </w:p>
  <w:p w14:paraId="2BA87AC6" w14:textId="77777777" w:rsidR="002C28BA" w:rsidRDefault="002C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906DB" w14:textId="77777777" w:rsidR="007A3735" w:rsidRDefault="007A3735" w:rsidP="00543845">
      <w:r>
        <w:separator/>
      </w:r>
    </w:p>
  </w:footnote>
  <w:footnote w:type="continuationSeparator" w:id="0">
    <w:p w14:paraId="2C9A3B41" w14:textId="77777777" w:rsidR="007A3735" w:rsidRDefault="007A3735" w:rsidP="0054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168" w:type="dxa"/>
      <w:tblInd w:w="-318" w:type="dxa"/>
      <w:tblLayout w:type="fixed"/>
      <w:tblLook w:val="04A0" w:firstRow="1" w:lastRow="0" w:firstColumn="1" w:lastColumn="0" w:noHBand="0" w:noVBand="1"/>
    </w:tblPr>
    <w:tblGrid>
      <w:gridCol w:w="4395"/>
      <w:gridCol w:w="4253"/>
      <w:gridCol w:w="1276"/>
      <w:gridCol w:w="1559"/>
      <w:gridCol w:w="2693"/>
      <w:gridCol w:w="992"/>
    </w:tblGrid>
    <w:tr w:rsidR="002C28BA" w:rsidRPr="009B71EF" w14:paraId="36D47A8F" w14:textId="77777777" w:rsidTr="00CB2BD4">
      <w:tc>
        <w:tcPr>
          <w:tcW w:w="4395" w:type="dxa"/>
          <w:shd w:val="clear" w:color="auto" w:fill="943634" w:themeFill="accent2" w:themeFillShade="BF"/>
        </w:tcPr>
        <w:p w14:paraId="00AA73A7" w14:textId="77777777" w:rsidR="002C28BA" w:rsidRPr="00CD162C" w:rsidRDefault="002C28BA" w:rsidP="00CB2BD4">
          <w:pPr>
            <w:rPr>
              <w:rFonts w:ascii="Arial" w:hAnsi="Arial" w:cs="Arial"/>
              <w:b/>
              <w:color w:val="FFFFFF" w:themeColor="background1"/>
              <w:sz w:val="22"/>
              <w:szCs w:val="22"/>
            </w:rPr>
          </w:pPr>
          <w:r w:rsidRPr="00CD162C">
            <w:rPr>
              <w:rFonts w:ascii="Arial" w:hAnsi="Arial" w:cs="Arial"/>
              <w:b/>
              <w:color w:val="FFFFFF" w:themeColor="background1"/>
              <w:sz w:val="22"/>
              <w:szCs w:val="22"/>
            </w:rPr>
            <w:t>Recommendation and scope</w:t>
          </w:r>
        </w:p>
      </w:tc>
      <w:tc>
        <w:tcPr>
          <w:tcW w:w="4253" w:type="dxa"/>
          <w:shd w:val="clear" w:color="auto" w:fill="943634" w:themeFill="accent2" w:themeFillShade="BF"/>
        </w:tcPr>
        <w:p w14:paraId="26238651" w14:textId="77777777" w:rsidR="002C28BA" w:rsidRPr="009B71EF" w:rsidRDefault="002C28BA" w:rsidP="00CB2BD4">
          <w:pPr>
            <w:rPr>
              <w:rFonts w:ascii="Arial" w:hAnsi="Arial" w:cs="Arial"/>
              <w:b/>
              <w:color w:val="FFFFFF" w:themeColor="background1"/>
              <w:sz w:val="22"/>
              <w:szCs w:val="22"/>
            </w:rPr>
          </w:pPr>
          <w:r w:rsidRPr="009B71EF">
            <w:rPr>
              <w:rFonts w:ascii="Arial" w:hAnsi="Arial" w:cs="Arial"/>
              <w:b/>
              <w:color w:val="FFFFFF" w:themeColor="background1"/>
              <w:sz w:val="22"/>
              <w:szCs w:val="22"/>
            </w:rPr>
            <w:t>Action</w:t>
          </w:r>
          <w:r>
            <w:rPr>
              <w:rFonts w:ascii="Arial" w:hAnsi="Arial" w:cs="Arial"/>
              <w:b/>
              <w:color w:val="FFFFFF" w:themeColor="background1"/>
              <w:sz w:val="22"/>
              <w:szCs w:val="22"/>
            </w:rPr>
            <w:t xml:space="preserve"> (s)</w:t>
          </w:r>
        </w:p>
      </w:tc>
      <w:tc>
        <w:tcPr>
          <w:tcW w:w="1276" w:type="dxa"/>
          <w:shd w:val="clear" w:color="auto" w:fill="943634" w:themeFill="accent2" w:themeFillShade="BF"/>
        </w:tcPr>
        <w:p w14:paraId="3BE49131" w14:textId="77777777" w:rsidR="002C28BA" w:rsidRPr="009B71EF" w:rsidRDefault="002C28BA" w:rsidP="00CB2BD4">
          <w:pPr>
            <w:rPr>
              <w:rFonts w:ascii="Arial" w:hAnsi="Arial" w:cs="Arial"/>
              <w:b/>
              <w:color w:val="FFFFFF" w:themeColor="background1"/>
              <w:sz w:val="22"/>
              <w:szCs w:val="22"/>
            </w:rPr>
          </w:pPr>
          <w:r w:rsidRPr="009B71EF">
            <w:rPr>
              <w:rFonts w:ascii="Arial" w:hAnsi="Arial" w:cs="Arial"/>
              <w:b/>
              <w:color w:val="FFFFFF" w:themeColor="background1"/>
              <w:sz w:val="22"/>
              <w:szCs w:val="22"/>
            </w:rPr>
            <w:t>Target Date</w:t>
          </w:r>
        </w:p>
      </w:tc>
      <w:tc>
        <w:tcPr>
          <w:tcW w:w="1559" w:type="dxa"/>
          <w:shd w:val="clear" w:color="auto" w:fill="943634" w:themeFill="accent2" w:themeFillShade="BF"/>
        </w:tcPr>
        <w:p w14:paraId="4AA2D9E2" w14:textId="77777777" w:rsidR="002C28BA" w:rsidRPr="009B71EF" w:rsidRDefault="002C28BA" w:rsidP="00CB2BD4">
          <w:pPr>
            <w:rPr>
              <w:rFonts w:ascii="Arial" w:hAnsi="Arial" w:cs="Arial"/>
              <w:b/>
              <w:color w:val="FFFFFF" w:themeColor="background1"/>
              <w:sz w:val="22"/>
              <w:szCs w:val="22"/>
            </w:rPr>
          </w:pPr>
          <w:r>
            <w:rPr>
              <w:rFonts w:ascii="Arial" w:hAnsi="Arial" w:cs="Arial"/>
              <w:b/>
              <w:color w:val="FFFFFF" w:themeColor="background1"/>
              <w:sz w:val="22"/>
              <w:szCs w:val="22"/>
            </w:rPr>
            <w:t>Lead</w:t>
          </w:r>
        </w:p>
      </w:tc>
      <w:tc>
        <w:tcPr>
          <w:tcW w:w="2693" w:type="dxa"/>
          <w:shd w:val="clear" w:color="auto" w:fill="943634" w:themeFill="accent2" w:themeFillShade="BF"/>
        </w:tcPr>
        <w:p w14:paraId="648D836C" w14:textId="77777777" w:rsidR="002C28BA" w:rsidRDefault="002C28BA" w:rsidP="00CB2BD4">
          <w:pPr>
            <w:rPr>
              <w:rFonts w:ascii="Arial" w:hAnsi="Arial" w:cs="Arial"/>
              <w:b/>
              <w:color w:val="FFFFFF" w:themeColor="background1"/>
              <w:sz w:val="22"/>
              <w:szCs w:val="22"/>
            </w:rPr>
          </w:pPr>
          <w:r w:rsidRPr="009B71EF">
            <w:rPr>
              <w:rFonts w:ascii="Arial" w:hAnsi="Arial" w:cs="Arial"/>
              <w:b/>
              <w:color w:val="FFFFFF" w:themeColor="background1"/>
              <w:sz w:val="22"/>
              <w:szCs w:val="22"/>
            </w:rPr>
            <w:t>Progress/</w:t>
          </w:r>
        </w:p>
        <w:p w14:paraId="23F7BBA6" w14:textId="77777777" w:rsidR="002C28BA" w:rsidRPr="009B71EF" w:rsidRDefault="002C28BA" w:rsidP="00CB2BD4">
          <w:pPr>
            <w:rPr>
              <w:rFonts w:ascii="Arial" w:hAnsi="Arial" w:cs="Arial"/>
              <w:b/>
              <w:color w:val="FFFFFF" w:themeColor="background1"/>
              <w:sz w:val="22"/>
              <w:szCs w:val="22"/>
            </w:rPr>
          </w:pPr>
          <w:r w:rsidRPr="009B71EF">
            <w:rPr>
              <w:rFonts w:ascii="Arial" w:hAnsi="Arial" w:cs="Arial"/>
              <w:b/>
              <w:color w:val="FFFFFF" w:themeColor="background1"/>
              <w:sz w:val="22"/>
              <w:szCs w:val="22"/>
            </w:rPr>
            <w:t>next steps</w:t>
          </w:r>
        </w:p>
      </w:tc>
      <w:tc>
        <w:tcPr>
          <w:tcW w:w="992" w:type="dxa"/>
          <w:shd w:val="clear" w:color="auto" w:fill="943634" w:themeFill="accent2" w:themeFillShade="BF"/>
        </w:tcPr>
        <w:p w14:paraId="71E69AFB" w14:textId="77777777" w:rsidR="002C28BA" w:rsidRPr="009B71EF" w:rsidRDefault="002C28BA" w:rsidP="00CB2BD4">
          <w:pPr>
            <w:rPr>
              <w:rFonts w:ascii="Arial" w:hAnsi="Arial" w:cs="Arial"/>
              <w:b/>
              <w:color w:val="FFFFFF" w:themeColor="background1"/>
              <w:sz w:val="22"/>
              <w:szCs w:val="22"/>
            </w:rPr>
          </w:pPr>
          <w:r w:rsidRPr="009B71EF">
            <w:rPr>
              <w:rFonts w:ascii="Arial" w:hAnsi="Arial" w:cs="Arial"/>
              <w:b/>
              <w:color w:val="FFFFFF" w:themeColor="background1"/>
              <w:sz w:val="22"/>
              <w:szCs w:val="22"/>
            </w:rPr>
            <w:t>Status (RAG) Rating</w:t>
          </w:r>
        </w:p>
      </w:tc>
    </w:tr>
  </w:tbl>
  <w:p w14:paraId="106E7EAB" w14:textId="77777777" w:rsidR="002C28BA" w:rsidRDefault="002C28BA" w:rsidP="00743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722E" w14:textId="77777777" w:rsidR="002C28BA" w:rsidRDefault="002C28BA">
    <w:pPr>
      <w:pStyle w:val="Header"/>
    </w:pPr>
    <w:r>
      <w:rPr>
        <w:noProof/>
      </w:rPr>
      <w:drawing>
        <wp:inline distT="0" distB="0" distL="0" distR="0" wp14:anchorId="16A83727" wp14:editId="4E588E96">
          <wp:extent cx="1878330" cy="666115"/>
          <wp:effectExtent l="0" t="0" r="7620" b="635"/>
          <wp:docPr id="2" name="Picture 2" descr="SAB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30" cy="666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2F9"/>
    <w:multiLevelType w:val="hybridMultilevel"/>
    <w:tmpl w:val="6E564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118F6"/>
    <w:multiLevelType w:val="hybridMultilevel"/>
    <w:tmpl w:val="4F8C1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B6F5D"/>
    <w:multiLevelType w:val="hybridMultilevel"/>
    <w:tmpl w:val="13A2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C5B1C"/>
    <w:multiLevelType w:val="hybridMultilevel"/>
    <w:tmpl w:val="27AC3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81DB2"/>
    <w:multiLevelType w:val="hybridMultilevel"/>
    <w:tmpl w:val="F3665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14B6A"/>
    <w:multiLevelType w:val="hybridMultilevel"/>
    <w:tmpl w:val="CB02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11CE4"/>
    <w:multiLevelType w:val="hybridMultilevel"/>
    <w:tmpl w:val="3E2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6143B"/>
    <w:multiLevelType w:val="hybridMultilevel"/>
    <w:tmpl w:val="A452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26969"/>
    <w:multiLevelType w:val="hybridMultilevel"/>
    <w:tmpl w:val="9D9879EA"/>
    <w:lvl w:ilvl="0" w:tplc="123ABB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D794F"/>
    <w:multiLevelType w:val="hybridMultilevel"/>
    <w:tmpl w:val="47F606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0E1084"/>
    <w:multiLevelType w:val="hybridMultilevel"/>
    <w:tmpl w:val="BA4CABA0"/>
    <w:lvl w:ilvl="0" w:tplc="A1328A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A0C46"/>
    <w:multiLevelType w:val="hybridMultilevel"/>
    <w:tmpl w:val="FC469BB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C51E1E"/>
    <w:multiLevelType w:val="hybridMultilevel"/>
    <w:tmpl w:val="48A8B3DA"/>
    <w:lvl w:ilvl="0" w:tplc="48D2050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161E3E"/>
    <w:multiLevelType w:val="hybridMultilevel"/>
    <w:tmpl w:val="CA907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7502E0"/>
    <w:multiLevelType w:val="hybridMultilevel"/>
    <w:tmpl w:val="E96EDA56"/>
    <w:lvl w:ilvl="0" w:tplc="EDE0392E">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66476"/>
    <w:multiLevelType w:val="hybridMultilevel"/>
    <w:tmpl w:val="A664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44413"/>
    <w:multiLevelType w:val="hybridMultilevel"/>
    <w:tmpl w:val="49BE92BE"/>
    <w:lvl w:ilvl="0" w:tplc="21B4577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E0ED7"/>
    <w:multiLevelType w:val="hybridMultilevel"/>
    <w:tmpl w:val="6674E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86337C"/>
    <w:multiLevelType w:val="hybridMultilevel"/>
    <w:tmpl w:val="CA3AC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D6BE0"/>
    <w:multiLevelType w:val="hybridMultilevel"/>
    <w:tmpl w:val="8E665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4E4164"/>
    <w:multiLevelType w:val="hybridMultilevel"/>
    <w:tmpl w:val="D318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300B9"/>
    <w:multiLevelType w:val="hybridMultilevel"/>
    <w:tmpl w:val="E76EF9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6A115E"/>
    <w:multiLevelType w:val="hybridMultilevel"/>
    <w:tmpl w:val="DD8C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B2E76"/>
    <w:multiLevelType w:val="hybridMultilevel"/>
    <w:tmpl w:val="C6B6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0939D2"/>
    <w:multiLevelType w:val="hybridMultilevel"/>
    <w:tmpl w:val="9726F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58691A"/>
    <w:multiLevelType w:val="hybridMultilevel"/>
    <w:tmpl w:val="CF76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C3951"/>
    <w:multiLevelType w:val="hybridMultilevel"/>
    <w:tmpl w:val="CC86D174"/>
    <w:lvl w:ilvl="0" w:tplc="3DBEF014">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D87A0D"/>
    <w:multiLevelType w:val="hybridMultilevel"/>
    <w:tmpl w:val="2110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83B54"/>
    <w:multiLevelType w:val="hybridMultilevel"/>
    <w:tmpl w:val="6848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B35AD"/>
    <w:multiLevelType w:val="hybridMultilevel"/>
    <w:tmpl w:val="B5EA8366"/>
    <w:lvl w:ilvl="0" w:tplc="A1328A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82E3D"/>
    <w:multiLevelType w:val="hybridMultilevel"/>
    <w:tmpl w:val="F6EA066C"/>
    <w:lvl w:ilvl="0" w:tplc="A1328A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44A2A"/>
    <w:multiLevelType w:val="hybridMultilevel"/>
    <w:tmpl w:val="E986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057B27"/>
    <w:multiLevelType w:val="hybridMultilevel"/>
    <w:tmpl w:val="A142ECDA"/>
    <w:lvl w:ilvl="0" w:tplc="08090001">
      <w:start w:val="1"/>
      <w:numFmt w:val="bullet"/>
      <w:lvlText w:val=""/>
      <w:lvlJc w:val="left"/>
      <w:pPr>
        <w:ind w:left="26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36B33"/>
    <w:multiLevelType w:val="hybridMultilevel"/>
    <w:tmpl w:val="C880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F6B0D"/>
    <w:multiLevelType w:val="hybridMultilevel"/>
    <w:tmpl w:val="F724B6E8"/>
    <w:lvl w:ilvl="0" w:tplc="9CBA214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7135A1"/>
    <w:multiLevelType w:val="hybridMultilevel"/>
    <w:tmpl w:val="4C06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9C7328"/>
    <w:multiLevelType w:val="hybridMultilevel"/>
    <w:tmpl w:val="4680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93A50"/>
    <w:multiLevelType w:val="hybridMultilevel"/>
    <w:tmpl w:val="5EE62236"/>
    <w:lvl w:ilvl="0" w:tplc="F8A69DE8">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8" w15:restartNumberingAfterBreak="0">
    <w:nsid w:val="7AD35174"/>
    <w:multiLevelType w:val="hybridMultilevel"/>
    <w:tmpl w:val="2A70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A22BB6"/>
    <w:multiLevelType w:val="hybridMultilevel"/>
    <w:tmpl w:val="36A4952A"/>
    <w:lvl w:ilvl="0" w:tplc="9CBA214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840B9"/>
    <w:multiLevelType w:val="hybridMultilevel"/>
    <w:tmpl w:val="5C88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E4B61"/>
    <w:multiLevelType w:val="hybridMultilevel"/>
    <w:tmpl w:val="FDA2F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BA68E3"/>
    <w:multiLevelType w:val="hybridMultilevel"/>
    <w:tmpl w:val="2122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20"/>
  </w:num>
  <w:num w:numId="4">
    <w:abstractNumId w:val="42"/>
  </w:num>
  <w:num w:numId="5">
    <w:abstractNumId w:val="32"/>
  </w:num>
  <w:num w:numId="6">
    <w:abstractNumId w:val="18"/>
  </w:num>
  <w:num w:numId="7">
    <w:abstractNumId w:val="31"/>
  </w:num>
  <w:num w:numId="8">
    <w:abstractNumId w:val="3"/>
  </w:num>
  <w:num w:numId="9">
    <w:abstractNumId w:val="30"/>
  </w:num>
  <w:num w:numId="10">
    <w:abstractNumId w:val="29"/>
  </w:num>
  <w:num w:numId="11">
    <w:abstractNumId w:val="24"/>
  </w:num>
  <w:num w:numId="12">
    <w:abstractNumId w:val="13"/>
  </w:num>
  <w:num w:numId="13">
    <w:abstractNumId w:val="23"/>
  </w:num>
  <w:num w:numId="14">
    <w:abstractNumId w:val="4"/>
  </w:num>
  <w:num w:numId="15">
    <w:abstractNumId w:val="38"/>
  </w:num>
  <w:num w:numId="16">
    <w:abstractNumId w:val="10"/>
  </w:num>
  <w:num w:numId="17">
    <w:abstractNumId w:val="1"/>
  </w:num>
  <w:num w:numId="18">
    <w:abstractNumId w:val="17"/>
  </w:num>
  <w:num w:numId="19">
    <w:abstractNumId w:val="5"/>
  </w:num>
  <w:num w:numId="20">
    <w:abstractNumId w:val="41"/>
  </w:num>
  <w:num w:numId="21">
    <w:abstractNumId w:val="35"/>
  </w:num>
  <w:num w:numId="22">
    <w:abstractNumId w:val="0"/>
  </w:num>
  <w:num w:numId="23">
    <w:abstractNumId w:val="14"/>
  </w:num>
  <w:num w:numId="24">
    <w:abstractNumId w:val="16"/>
  </w:num>
  <w:num w:numId="25">
    <w:abstractNumId w:val="34"/>
  </w:num>
  <w:num w:numId="26">
    <w:abstractNumId w:val="39"/>
  </w:num>
  <w:num w:numId="27">
    <w:abstractNumId w:val="21"/>
  </w:num>
  <w:num w:numId="28">
    <w:abstractNumId w:val="8"/>
  </w:num>
  <w:num w:numId="29">
    <w:abstractNumId w:val="28"/>
  </w:num>
  <w:num w:numId="30">
    <w:abstractNumId w:val="12"/>
  </w:num>
  <w:num w:numId="31">
    <w:abstractNumId w:val="25"/>
  </w:num>
  <w:num w:numId="32">
    <w:abstractNumId w:val="33"/>
  </w:num>
  <w:num w:numId="33">
    <w:abstractNumId w:val="22"/>
  </w:num>
  <w:num w:numId="34">
    <w:abstractNumId w:val="37"/>
  </w:num>
  <w:num w:numId="35">
    <w:abstractNumId w:val="27"/>
  </w:num>
  <w:num w:numId="36">
    <w:abstractNumId w:val="2"/>
  </w:num>
  <w:num w:numId="37">
    <w:abstractNumId w:val="40"/>
  </w:num>
  <w:num w:numId="38">
    <w:abstractNumId w:val="7"/>
  </w:num>
  <w:num w:numId="39">
    <w:abstractNumId w:val="15"/>
  </w:num>
  <w:num w:numId="40">
    <w:abstractNumId w:val="6"/>
  </w:num>
  <w:num w:numId="41">
    <w:abstractNumId w:val="19"/>
  </w:num>
  <w:num w:numId="42">
    <w:abstractNumId w:val="36"/>
  </w:num>
  <w:num w:numId="4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B5"/>
    <w:rsid w:val="00003B89"/>
    <w:rsid w:val="00004BCE"/>
    <w:rsid w:val="000058E2"/>
    <w:rsid w:val="00005DE0"/>
    <w:rsid w:val="00010ED8"/>
    <w:rsid w:val="00013C06"/>
    <w:rsid w:val="00014AF0"/>
    <w:rsid w:val="00015018"/>
    <w:rsid w:val="00017699"/>
    <w:rsid w:val="00017CB9"/>
    <w:rsid w:val="00022CCC"/>
    <w:rsid w:val="000333D0"/>
    <w:rsid w:val="00034965"/>
    <w:rsid w:val="000376B5"/>
    <w:rsid w:val="00043D84"/>
    <w:rsid w:val="00043EB4"/>
    <w:rsid w:val="00043F89"/>
    <w:rsid w:val="000547F8"/>
    <w:rsid w:val="00057D5A"/>
    <w:rsid w:val="00060621"/>
    <w:rsid w:val="00062444"/>
    <w:rsid w:val="00073A94"/>
    <w:rsid w:val="00073F85"/>
    <w:rsid w:val="00075781"/>
    <w:rsid w:val="000765AC"/>
    <w:rsid w:val="00077EF7"/>
    <w:rsid w:val="00080116"/>
    <w:rsid w:val="00080910"/>
    <w:rsid w:val="00091728"/>
    <w:rsid w:val="00091D52"/>
    <w:rsid w:val="000927D0"/>
    <w:rsid w:val="00094A8C"/>
    <w:rsid w:val="00095FF7"/>
    <w:rsid w:val="000A2C46"/>
    <w:rsid w:val="000A535B"/>
    <w:rsid w:val="000A67BA"/>
    <w:rsid w:val="000B7F64"/>
    <w:rsid w:val="000C0B2B"/>
    <w:rsid w:val="000C1279"/>
    <w:rsid w:val="000C5654"/>
    <w:rsid w:val="000D1AF8"/>
    <w:rsid w:val="000D3185"/>
    <w:rsid w:val="000D33A4"/>
    <w:rsid w:val="000D4CF5"/>
    <w:rsid w:val="000D7BBA"/>
    <w:rsid w:val="000E2E3B"/>
    <w:rsid w:val="000F70E1"/>
    <w:rsid w:val="0010414C"/>
    <w:rsid w:val="0011070D"/>
    <w:rsid w:val="001109FB"/>
    <w:rsid w:val="00114442"/>
    <w:rsid w:val="00114FCE"/>
    <w:rsid w:val="00117504"/>
    <w:rsid w:val="00124754"/>
    <w:rsid w:val="00134814"/>
    <w:rsid w:val="00137EE1"/>
    <w:rsid w:val="00140523"/>
    <w:rsid w:val="00140EFA"/>
    <w:rsid w:val="00142585"/>
    <w:rsid w:val="00143CD6"/>
    <w:rsid w:val="00144EF1"/>
    <w:rsid w:val="00145739"/>
    <w:rsid w:val="00151D68"/>
    <w:rsid w:val="001533DC"/>
    <w:rsid w:val="00154661"/>
    <w:rsid w:val="00154840"/>
    <w:rsid w:val="0016034C"/>
    <w:rsid w:val="00166C49"/>
    <w:rsid w:val="00166EF9"/>
    <w:rsid w:val="00172DB8"/>
    <w:rsid w:val="00173CC5"/>
    <w:rsid w:val="0017490F"/>
    <w:rsid w:val="0017540D"/>
    <w:rsid w:val="00181FF1"/>
    <w:rsid w:val="0018596A"/>
    <w:rsid w:val="00190ED8"/>
    <w:rsid w:val="00191A12"/>
    <w:rsid w:val="001938D0"/>
    <w:rsid w:val="001A152B"/>
    <w:rsid w:val="001A1DE0"/>
    <w:rsid w:val="001A2FC3"/>
    <w:rsid w:val="001A5B02"/>
    <w:rsid w:val="001A6700"/>
    <w:rsid w:val="001A7268"/>
    <w:rsid w:val="001A79F8"/>
    <w:rsid w:val="001B1D93"/>
    <w:rsid w:val="001B45A2"/>
    <w:rsid w:val="001B691E"/>
    <w:rsid w:val="001C5BBD"/>
    <w:rsid w:val="001C6522"/>
    <w:rsid w:val="001D022E"/>
    <w:rsid w:val="001D2AD6"/>
    <w:rsid w:val="001D35CC"/>
    <w:rsid w:val="001E1A84"/>
    <w:rsid w:val="001E20A9"/>
    <w:rsid w:val="001E2EA2"/>
    <w:rsid w:val="001E2F4A"/>
    <w:rsid w:val="001E4BFC"/>
    <w:rsid w:val="001E4C3D"/>
    <w:rsid w:val="001F13E4"/>
    <w:rsid w:val="001F7E9D"/>
    <w:rsid w:val="00201043"/>
    <w:rsid w:val="00201FAC"/>
    <w:rsid w:val="00202725"/>
    <w:rsid w:val="002037F2"/>
    <w:rsid w:val="002112DE"/>
    <w:rsid w:val="00212968"/>
    <w:rsid w:val="00213108"/>
    <w:rsid w:val="00220BC9"/>
    <w:rsid w:val="00225716"/>
    <w:rsid w:val="00225911"/>
    <w:rsid w:val="0022788E"/>
    <w:rsid w:val="00227EBA"/>
    <w:rsid w:val="00230DA4"/>
    <w:rsid w:val="00230DD3"/>
    <w:rsid w:val="00232047"/>
    <w:rsid w:val="00232EAC"/>
    <w:rsid w:val="00233AE2"/>
    <w:rsid w:val="00233F51"/>
    <w:rsid w:val="0023475C"/>
    <w:rsid w:val="00235810"/>
    <w:rsid w:val="00237A33"/>
    <w:rsid w:val="002455DB"/>
    <w:rsid w:val="00245CF7"/>
    <w:rsid w:val="00251617"/>
    <w:rsid w:val="00251676"/>
    <w:rsid w:val="0025408D"/>
    <w:rsid w:val="00254E2E"/>
    <w:rsid w:val="00260E8F"/>
    <w:rsid w:val="00267F61"/>
    <w:rsid w:val="00273D04"/>
    <w:rsid w:val="00274E00"/>
    <w:rsid w:val="002758A7"/>
    <w:rsid w:val="00280199"/>
    <w:rsid w:val="00281E24"/>
    <w:rsid w:val="00281EB2"/>
    <w:rsid w:val="002824C4"/>
    <w:rsid w:val="00284337"/>
    <w:rsid w:val="00290341"/>
    <w:rsid w:val="00296581"/>
    <w:rsid w:val="002A2EEC"/>
    <w:rsid w:val="002A3B97"/>
    <w:rsid w:val="002A64CB"/>
    <w:rsid w:val="002B13E7"/>
    <w:rsid w:val="002B2AC6"/>
    <w:rsid w:val="002B410D"/>
    <w:rsid w:val="002C0C99"/>
    <w:rsid w:val="002C28BA"/>
    <w:rsid w:val="002C29F8"/>
    <w:rsid w:val="002D0107"/>
    <w:rsid w:val="002E090A"/>
    <w:rsid w:val="002E15FD"/>
    <w:rsid w:val="002E3CFE"/>
    <w:rsid w:val="002E570B"/>
    <w:rsid w:val="002E6442"/>
    <w:rsid w:val="002E648C"/>
    <w:rsid w:val="002E6796"/>
    <w:rsid w:val="002F059E"/>
    <w:rsid w:val="002F2012"/>
    <w:rsid w:val="002F4E8A"/>
    <w:rsid w:val="003022A5"/>
    <w:rsid w:val="00303002"/>
    <w:rsid w:val="00305C56"/>
    <w:rsid w:val="00306261"/>
    <w:rsid w:val="003136BF"/>
    <w:rsid w:val="00313D34"/>
    <w:rsid w:val="00316FB8"/>
    <w:rsid w:val="00324475"/>
    <w:rsid w:val="003266B9"/>
    <w:rsid w:val="00330435"/>
    <w:rsid w:val="0033198A"/>
    <w:rsid w:val="00331E8F"/>
    <w:rsid w:val="00333587"/>
    <w:rsid w:val="0033434A"/>
    <w:rsid w:val="003352D1"/>
    <w:rsid w:val="00337124"/>
    <w:rsid w:val="003425B9"/>
    <w:rsid w:val="00345CFB"/>
    <w:rsid w:val="00346B0A"/>
    <w:rsid w:val="00353870"/>
    <w:rsid w:val="00354299"/>
    <w:rsid w:val="00354DDC"/>
    <w:rsid w:val="0035681E"/>
    <w:rsid w:val="00356CE5"/>
    <w:rsid w:val="003572E5"/>
    <w:rsid w:val="00357AED"/>
    <w:rsid w:val="00360021"/>
    <w:rsid w:val="00361EB6"/>
    <w:rsid w:val="00373CE7"/>
    <w:rsid w:val="00374793"/>
    <w:rsid w:val="00376435"/>
    <w:rsid w:val="003843ED"/>
    <w:rsid w:val="003951C0"/>
    <w:rsid w:val="003A4211"/>
    <w:rsid w:val="003A5175"/>
    <w:rsid w:val="003A7781"/>
    <w:rsid w:val="003B0F9F"/>
    <w:rsid w:val="003B3E67"/>
    <w:rsid w:val="003B5322"/>
    <w:rsid w:val="003C375F"/>
    <w:rsid w:val="003C4FC5"/>
    <w:rsid w:val="003D0ECF"/>
    <w:rsid w:val="003E329D"/>
    <w:rsid w:val="003E3FC4"/>
    <w:rsid w:val="003F07EF"/>
    <w:rsid w:val="003F32CF"/>
    <w:rsid w:val="003F37B0"/>
    <w:rsid w:val="003F60A7"/>
    <w:rsid w:val="004020FA"/>
    <w:rsid w:val="00411A10"/>
    <w:rsid w:val="004142BB"/>
    <w:rsid w:val="00414BCA"/>
    <w:rsid w:val="004176FC"/>
    <w:rsid w:val="00421B27"/>
    <w:rsid w:val="00425B19"/>
    <w:rsid w:val="00426091"/>
    <w:rsid w:val="00440C5F"/>
    <w:rsid w:val="00445300"/>
    <w:rsid w:val="004470FA"/>
    <w:rsid w:val="00451599"/>
    <w:rsid w:val="00455250"/>
    <w:rsid w:val="00457202"/>
    <w:rsid w:val="004638ED"/>
    <w:rsid w:val="00466027"/>
    <w:rsid w:val="00466700"/>
    <w:rsid w:val="004679AB"/>
    <w:rsid w:val="00471328"/>
    <w:rsid w:val="004714A3"/>
    <w:rsid w:val="00471F54"/>
    <w:rsid w:val="00473729"/>
    <w:rsid w:val="00483AF3"/>
    <w:rsid w:val="00484E6A"/>
    <w:rsid w:val="004850F6"/>
    <w:rsid w:val="00492328"/>
    <w:rsid w:val="00495A98"/>
    <w:rsid w:val="00497B46"/>
    <w:rsid w:val="004A0D17"/>
    <w:rsid w:val="004A1DBB"/>
    <w:rsid w:val="004A4830"/>
    <w:rsid w:val="004A73FA"/>
    <w:rsid w:val="004B00BF"/>
    <w:rsid w:val="004B041C"/>
    <w:rsid w:val="004B0B9F"/>
    <w:rsid w:val="004B1CA6"/>
    <w:rsid w:val="004B604A"/>
    <w:rsid w:val="004B62D8"/>
    <w:rsid w:val="004C692C"/>
    <w:rsid w:val="004D35C4"/>
    <w:rsid w:val="004D4220"/>
    <w:rsid w:val="004D4438"/>
    <w:rsid w:val="004E46FA"/>
    <w:rsid w:val="004E5643"/>
    <w:rsid w:val="004E776A"/>
    <w:rsid w:val="004F61E0"/>
    <w:rsid w:val="0050288B"/>
    <w:rsid w:val="00503B51"/>
    <w:rsid w:val="00504B00"/>
    <w:rsid w:val="00511E59"/>
    <w:rsid w:val="00511EA6"/>
    <w:rsid w:val="0051720F"/>
    <w:rsid w:val="00517DF8"/>
    <w:rsid w:val="005207E4"/>
    <w:rsid w:val="00520864"/>
    <w:rsid w:val="00520A49"/>
    <w:rsid w:val="00521429"/>
    <w:rsid w:val="00521495"/>
    <w:rsid w:val="00526932"/>
    <w:rsid w:val="00527EE0"/>
    <w:rsid w:val="00530E23"/>
    <w:rsid w:val="005368EA"/>
    <w:rsid w:val="005371B9"/>
    <w:rsid w:val="00540F20"/>
    <w:rsid w:val="00543845"/>
    <w:rsid w:val="00544254"/>
    <w:rsid w:val="00544D27"/>
    <w:rsid w:val="005458C1"/>
    <w:rsid w:val="00545C38"/>
    <w:rsid w:val="005473B6"/>
    <w:rsid w:val="00550122"/>
    <w:rsid w:val="00550A13"/>
    <w:rsid w:val="00550BA8"/>
    <w:rsid w:val="005518EE"/>
    <w:rsid w:val="00551FBC"/>
    <w:rsid w:val="00552AA7"/>
    <w:rsid w:val="00565D61"/>
    <w:rsid w:val="00573779"/>
    <w:rsid w:val="00576CFD"/>
    <w:rsid w:val="005770CC"/>
    <w:rsid w:val="005776B9"/>
    <w:rsid w:val="00581EF9"/>
    <w:rsid w:val="00582CFC"/>
    <w:rsid w:val="005854A9"/>
    <w:rsid w:val="00586390"/>
    <w:rsid w:val="005918F3"/>
    <w:rsid w:val="005928D7"/>
    <w:rsid w:val="00593CB0"/>
    <w:rsid w:val="00595716"/>
    <w:rsid w:val="00596433"/>
    <w:rsid w:val="005A14F2"/>
    <w:rsid w:val="005A2E4A"/>
    <w:rsid w:val="005A53AC"/>
    <w:rsid w:val="005B3562"/>
    <w:rsid w:val="005B5295"/>
    <w:rsid w:val="005B593F"/>
    <w:rsid w:val="005C4A25"/>
    <w:rsid w:val="005C5476"/>
    <w:rsid w:val="005C5D62"/>
    <w:rsid w:val="005D3D52"/>
    <w:rsid w:val="005E2F54"/>
    <w:rsid w:val="005E491F"/>
    <w:rsid w:val="005E51A2"/>
    <w:rsid w:val="005E52B4"/>
    <w:rsid w:val="005E5433"/>
    <w:rsid w:val="005F7151"/>
    <w:rsid w:val="0060023E"/>
    <w:rsid w:val="006023B2"/>
    <w:rsid w:val="00603AE8"/>
    <w:rsid w:val="00607FC3"/>
    <w:rsid w:val="0061031F"/>
    <w:rsid w:val="00613F92"/>
    <w:rsid w:val="00615C4C"/>
    <w:rsid w:val="00616146"/>
    <w:rsid w:val="00616590"/>
    <w:rsid w:val="00620D80"/>
    <w:rsid w:val="0062294D"/>
    <w:rsid w:val="006333E9"/>
    <w:rsid w:val="00636EC6"/>
    <w:rsid w:val="00642E23"/>
    <w:rsid w:val="00647BA5"/>
    <w:rsid w:val="00650C35"/>
    <w:rsid w:val="00662A82"/>
    <w:rsid w:val="0066578C"/>
    <w:rsid w:val="00680598"/>
    <w:rsid w:val="00680F85"/>
    <w:rsid w:val="00681372"/>
    <w:rsid w:val="00683090"/>
    <w:rsid w:val="00692059"/>
    <w:rsid w:val="006923FE"/>
    <w:rsid w:val="006949A5"/>
    <w:rsid w:val="0069668A"/>
    <w:rsid w:val="006971BF"/>
    <w:rsid w:val="006A170B"/>
    <w:rsid w:val="006A3FC7"/>
    <w:rsid w:val="006A4DBC"/>
    <w:rsid w:val="006A5593"/>
    <w:rsid w:val="006A57C5"/>
    <w:rsid w:val="006A6414"/>
    <w:rsid w:val="006B037A"/>
    <w:rsid w:val="006C2C96"/>
    <w:rsid w:val="006C52DA"/>
    <w:rsid w:val="006D11C0"/>
    <w:rsid w:val="006D1D1C"/>
    <w:rsid w:val="006D64AE"/>
    <w:rsid w:val="006E3F40"/>
    <w:rsid w:val="006F1E28"/>
    <w:rsid w:val="006F5409"/>
    <w:rsid w:val="006F65AB"/>
    <w:rsid w:val="00702D72"/>
    <w:rsid w:val="00704C62"/>
    <w:rsid w:val="007070F8"/>
    <w:rsid w:val="0070744C"/>
    <w:rsid w:val="00714F2F"/>
    <w:rsid w:val="00716604"/>
    <w:rsid w:val="00722EE7"/>
    <w:rsid w:val="00725281"/>
    <w:rsid w:val="00725E9E"/>
    <w:rsid w:val="00726E45"/>
    <w:rsid w:val="007323ED"/>
    <w:rsid w:val="0073338C"/>
    <w:rsid w:val="00733FB4"/>
    <w:rsid w:val="00736684"/>
    <w:rsid w:val="00740D50"/>
    <w:rsid w:val="007427FD"/>
    <w:rsid w:val="00743A45"/>
    <w:rsid w:val="00746500"/>
    <w:rsid w:val="00747306"/>
    <w:rsid w:val="00747E8B"/>
    <w:rsid w:val="00750E70"/>
    <w:rsid w:val="0075319E"/>
    <w:rsid w:val="007574D9"/>
    <w:rsid w:val="0076342D"/>
    <w:rsid w:val="0076477F"/>
    <w:rsid w:val="00766A96"/>
    <w:rsid w:val="007672FB"/>
    <w:rsid w:val="00767BC6"/>
    <w:rsid w:val="00771567"/>
    <w:rsid w:val="0077268A"/>
    <w:rsid w:val="0078551E"/>
    <w:rsid w:val="00791825"/>
    <w:rsid w:val="0079265D"/>
    <w:rsid w:val="007936B7"/>
    <w:rsid w:val="00795EEB"/>
    <w:rsid w:val="00797807"/>
    <w:rsid w:val="007A11B7"/>
    <w:rsid w:val="007A3735"/>
    <w:rsid w:val="007A4152"/>
    <w:rsid w:val="007A5940"/>
    <w:rsid w:val="007A5C16"/>
    <w:rsid w:val="007B1BC1"/>
    <w:rsid w:val="007C2BC1"/>
    <w:rsid w:val="007C4B9B"/>
    <w:rsid w:val="007C57B5"/>
    <w:rsid w:val="007C63D9"/>
    <w:rsid w:val="007D1C6B"/>
    <w:rsid w:val="007D6FFB"/>
    <w:rsid w:val="007E2067"/>
    <w:rsid w:val="007E2C07"/>
    <w:rsid w:val="007E3A09"/>
    <w:rsid w:val="007E523B"/>
    <w:rsid w:val="007E6B41"/>
    <w:rsid w:val="007E78BB"/>
    <w:rsid w:val="007F729B"/>
    <w:rsid w:val="007F74D4"/>
    <w:rsid w:val="0080107C"/>
    <w:rsid w:val="008014B9"/>
    <w:rsid w:val="008019A2"/>
    <w:rsid w:val="00801CDA"/>
    <w:rsid w:val="00802B0D"/>
    <w:rsid w:val="00803EB9"/>
    <w:rsid w:val="008063A7"/>
    <w:rsid w:val="00806662"/>
    <w:rsid w:val="0081164F"/>
    <w:rsid w:val="00813225"/>
    <w:rsid w:val="008132AE"/>
    <w:rsid w:val="00814CEF"/>
    <w:rsid w:val="0081570E"/>
    <w:rsid w:val="00820E4F"/>
    <w:rsid w:val="00823CBB"/>
    <w:rsid w:val="00825AAA"/>
    <w:rsid w:val="008271D0"/>
    <w:rsid w:val="00831851"/>
    <w:rsid w:val="00833561"/>
    <w:rsid w:val="00835C38"/>
    <w:rsid w:val="00836724"/>
    <w:rsid w:val="00837710"/>
    <w:rsid w:val="008419F8"/>
    <w:rsid w:val="00842791"/>
    <w:rsid w:val="00843F18"/>
    <w:rsid w:val="0084614B"/>
    <w:rsid w:val="0085094A"/>
    <w:rsid w:val="00850CBB"/>
    <w:rsid w:val="00852168"/>
    <w:rsid w:val="00854319"/>
    <w:rsid w:val="008548DC"/>
    <w:rsid w:val="00856834"/>
    <w:rsid w:val="00856E79"/>
    <w:rsid w:val="00865A99"/>
    <w:rsid w:val="00870452"/>
    <w:rsid w:val="008705B9"/>
    <w:rsid w:val="00870C92"/>
    <w:rsid w:val="00872BD9"/>
    <w:rsid w:val="00875CCE"/>
    <w:rsid w:val="00876036"/>
    <w:rsid w:val="008802D0"/>
    <w:rsid w:val="00886867"/>
    <w:rsid w:val="00886CEF"/>
    <w:rsid w:val="00892AD1"/>
    <w:rsid w:val="008937EC"/>
    <w:rsid w:val="00894AEC"/>
    <w:rsid w:val="00895BF7"/>
    <w:rsid w:val="008A6036"/>
    <w:rsid w:val="008B0DF8"/>
    <w:rsid w:val="008B1A96"/>
    <w:rsid w:val="008B30E0"/>
    <w:rsid w:val="008B61E8"/>
    <w:rsid w:val="008C4014"/>
    <w:rsid w:val="008C4184"/>
    <w:rsid w:val="008C6507"/>
    <w:rsid w:val="008D1C33"/>
    <w:rsid w:val="008D253C"/>
    <w:rsid w:val="008D2AA0"/>
    <w:rsid w:val="008D3ADB"/>
    <w:rsid w:val="008D3DDB"/>
    <w:rsid w:val="008D604F"/>
    <w:rsid w:val="008D642F"/>
    <w:rsid w:val="008D648E"/>
    <w:rsid w:val="008E0414"/>
    <w:rsid w:val="008E0FED"/>
    <w:rsid w:val="008E38E4"/>
    <w:rsid w:val="008F0777"/>
    <w:rsid w:val="008F209E"/>
    <w:rsid w:val="008F6481"/>
    <w:rsid w:val="009004CC"/>
    <w:rsid w:val="00900CE6"/>
    <w:rsid w:val="00910AA0"/>
    <w:rsid w:val="00911242"/>
    <w:rsid w:val="00914A9A"/>
    <w:rsid w:val="00916839"/>
    <w:rsid w:val="00924497"/>
    <w:rsid w:val="0092655D"/>
    <w:rsid w:val="00926887"/>
    <w:rsid w:val="00927B52"/>
    <w:rsid w:val="00931131"/>
    <w:rsid w:val="00933115"/>
    <w:rsid w:val="00933315"/>
    <w:rsid w:val="00935791"/>
    <w:rsid w:val="009357B3"/>
    <w:rsid w:val="009579AB"/>
    <w:rsid w:val="00957FA9"/>
    <w:rsid w:val="00961257"/>
    <w:rsid w:val="009631B2"/>
    <w:rsid w:val="00964862"/>
    <w:rsid w:val="0097200D"/>
    <w:rsid w:val="009774BB"/>
    <w:rsid w:val="009822AD"/>
    <w:rsid w:val="0098378D"/>
    <w:rsid w:val="00987B08"/>
    <w:rsid w:val="009917DC"/>
    <w:rsid w:val="00991832"/>
    <w:rsid w:val="00992E24"/>
    <w:rsid w:val="0099542A"/>
    <w:rsid w:val="009A3841"/>
    <w:rsid w:val="009A5D2F"/>
    <w:rsid w:val="009B4E98"/>
    <w:rsid w:val="009B51A4"/>
    <w:rsid w:val="009B621B"/>
    <w:rsid w:val="009B71EF"/>
    <w:rsid w:val="009C12F9"/>
    <w:rsid w:val="009C3736"/>
    <w:rsid w:val="009C375F"/>
    <w:rsid w:val="009C4637"/>
    <w:rsid w:val="009C46B9"/>
    <w:rsid w:val="009D3C0C"/>
    <w:rsid w:val="009D5D83"/>
    <w:rsid w:val="009D7CE5"/>
    <w:rsid w:val="009E313D"/>
    <w:rsid w:val="009E3E5B"/>
    <w:rsid w:val="009E525A"/>
    <w:rsid w:val="009F0EFC"/>
    <w:rsid w:val="009F7F34"/>
    <w:rsid w:val="00A00E7C"/>
    <w:rsid w:val="00A03295"/>
    <w:rsid w:val="00A04A62"/>
    <w:rsid w:val="00A05F12"/>
    <w:rsid w:val="00A07219"/>
    <w:rsid w:val="00A13C8F"/>
    <w:rsid w:val="00A15009"/>
    <w:rsid w:val="00A164E4"/>
    <w:rsid w:val="00A204A0"/>
    <w:rsid w:val="00A22CB5"/>
    <w:rsid w:val="00A2319D"/>
    <w:rsid w:val="00A25A7D"/>
    <w:rsid w:val="00A26EB6"/>
    <w:rsid w:val="00A27924"/>
    <w:rsid w:val="00A310EC"/>
    <w:rsid w:val="00A3749D"/>
    <w:rsid w:val="00A4051C"/>
    <w:rsid w:val="00A42FA7"/>
    <w:rsid w:val="00A45D2E"/>
    <w:rsid w:val="00A46B76"/>
    <w:rsid w:val="00A47D68"/>
    <w:rsid w:val="00A47DAD"/>
    <w:rsid w:val="00A50CE3"/>
    <w:rsid w:val="00A50DBF"/>
    <w:rsid w:val="00A642A6"/>
    <w:rsid w:val="00A70C93"/>
    <w:rsid w:val="00A71921"/>
    <w:rsid w:val="00A72F9E"/>
    <w:rsid w:val="00A73EFF"/>
    <w:rsid w:val="00A744CD"/>
    <w:rsid w:val="00A744FD"/>
    <w:rsid w:val="00A752DC"/>
    <w:rsid w:val="00A75E31"/>
    <w:rsid w:val="00A80A0C"/>
    <w:rsid w:val="00A8308E"/>
    <w:rsid w:val="00A8473A"/>
    <w:rsid w:val="00A86075"/>
    <w:rsid w:val="00A86ECA"/>
    <w:rsid w:val="00A91DD3"/>
    <w:rsid w:val="00A953AF"/>
    <w:rsid w:val="00A95EEF"/>
    <w:rsid w:val="00AA0EE9"/>
    <w:rsid w:val="00AA1E07"/>
    <w:rsid w:val="00AA4D25"/>
    <w:rsid w:val="00AA5F71"/>
    <w:rsid w:val="00AA7139"/>
    <w:rsid w:val="00AB0AC9"/>
    <w:rsid w:val="00AB24C4"/>
    <w:rsid w:val="00AB5F9D"/>
    <w:rsid w:val="00AC0BF0"/>
    <w:rsid w:val="00AC2650"/>
    <w:rsid w:val="00AC35F2"/>
    <w:rsid w:val="00AE0599"/>
    <w:rsid w:val="00AE0658"/>
    <w:rsid w:val="00AE2E12"/>
    <w:rsid w:val="00AE5902"/>
    <w:rsid w:val="00AF42A0"/>
    <w:rsid w:val="00AF61D2"/>
    <w:rsid w:val="00AF6B08"/>
    <w:rsid w:val="00B00F9A"/>
    <w:rsid w:val="00B0369A"/>
    <w:rsid w:val="00B04B0F"/>
    <w:rsid w:val="00B054D1"/>
    <w:rsid w:val="00B1509F"/>
    <w:rsid w:val="00B15A30"/>
    <w:rsid w:val="00B1785F"/>
    <w:rsid w:val="00B2087F"/>
    <w:rsid w:val="00B253BB"/>
    <w:rsid w:val="00B25A8B"/>
    <w:rsid w:val="00B27DF7"/>
    <w:rsid w:val="00B32A30"/>
    <w:rsid w:val="00B34424"/>
    <w:rsid w:val="00B43B04"/>
    <w:rsid w:val="00B47C86"/>
    <w:rsid w:val="00B50332"/>
    <w:rsid w:val="00B5131D"/>
    <w:rsid w:val="00B529D4"/>
    <w:rsid w:val="00B53043"/>
    <w:rsid w:val="00B548FE"/>
    <w:rsid w:val="00B60568"/>
    <w:rsid w:val="00B60752"/>
    <w:rsid w:val="00B641A3"/>
    <w:rsid w:val="00B66337"/>
    <w:rsid w:val="00B67327"/>
    <w:rsid w:val="00B70E43"/>
    <w:rsid w:val="00B7662D"/>
    <w:rsid w:val="00B82E4D"/>
    <w:rsid w:val="00B87569"/>
    <w:rsid w:val="00B8791D"/>
    <w:rsid w:val="00B91053"/>
    <w:rsid w:val="00B9223E"/>
    <w:rsid w:val="00B9580C"/>
    <w:rsid w:val="00B9596E"/>
    <w:rsid w:val="00BA55D7"/>
    <w:rsid w:val="00BA55DB"/>
    <w:rsid w:val="00BA6D3C"/>
    <w:rsid w:val="00BB2C10"/>
    <w:rsid w:val="00BB314A"/>
    <w:rsid w:val="00BB455F"/>
    <w:rsid w:val="00BC1394"/>
    <w:rsid w:val="00BC44EA"/>
    <w:rsid w:val="00BD0159"/>
    <w:rsid w:val="00BD0AD8"/>
    <w:rsid w:val="00BD11B6"/>
    <w:rsid w:val="00BD7B97"/>
    <w:rsid w:val="00BE303A"/>
    <w:rsid w:val="00BE3B04"/>
    <w:rsid w:val="00BE686B"/>
    <w:rsid w:val="00BE752C"/>
    <w:rsid w:val="00BE7A84"/>
    <w:rsid w:val="00BE7C5C"/>
    <w:rsid w:val="00BF02ED"/>
    <w:rsid w:val="00BF5AF2"/>
    <w:rsid w:val="00C01F18"/>
    <w:rsid w:val="00C03EB5"/>
    <w:rsid w:val="00C06B9B"/>
    <w:rsid w:val="00C06CB5"/>
    <w:rsid w:val="00C1590F"/>
    <w:rsid w:val="00C17F86"/>
    <w:rsid w:val="00C2010F"/>
    <w:rsid w:val="00C21F77"/>
    <w:rsid w:val="00C22D0E"/>
    <w:rsid w:val="00C25EE9"/>
    <w:rsid w:val="00C3217B"/>
    <w:rsid w:val="00C355C9"/>
    <w:rsid w:val="00C402B4"/>
    <w:rsid w:val="00C44175"/>
    <w:rsid w:val="00C451D0"/>
    <w:rsid w:val="00C536AB"/>
    <w:rsid w:val="00C537B6"/>
    <w:rsid w:val="00C53F4D"/>
    <w:rsid w:val="00C55825"/>
    <w:rsid w:val="00C55C71"/>
    <w:rsid w:val="00C6156E"/>
    <w:rsid w:val="00C774AE"/>
    <w:rsid w:val="00C81417"/>
    <w:rsid w:val="00C86A69"/>
    <w:rsid w:val="00C87622"/>
    <w:rsid w:val="00C91D61"/>
    <w:rsid w:val="00C926C3"/>
    <w:rsid w:val="00C96327"/>
    <w:rsid w:val="00CA01E3"/>
    <w:rsid w:val="00CA0CF3"/>
    <w:rsid w:val="00CA3EA3"/>
    <w:rsid w:val="00CA411F"/>
    <w:rsid w:val="00CA653B"/>
    <w:rsid w:val="00CA661B"/>
    <w:rsid w:val="00CB05C4"/>
    <w:rsid w:val="00CB150B"/>
    <w:rsid w:val="00CB2BD4"/>
    <w:rsid w:val="00CB67C9"/>
    <w:rsid w:val="00CB6DF6"/>
    <w:rsid w:val="00CC1CE1"/>
    <w:rsid w:val="00CC1F42"/>
    <w:rsid w:val="00CC3AC6"/>
    <w:rsid w:val="00CC5B64"/>
    <w:rsid w:val="00CC6D71"/>
    <w:rsid w:val="00CC7A10"/>
    <w:rsid w:val="00CC7A62"/>
    <w:rsid w:val="00CD162C"/>
    <w:rsid w:val="00CD1FB1"/>
    <w:rsid w:val="00CD2A92"/>
    <w:rsid w:val="00CD4968"/>
    <w:rsid w:val="00CD7B85"/>
    <w:rsid w:val="00CE5B65"/>
    <w:rsid w:val="00CE6049"/>
    <w:rsid w:val="00CE6146"/>
    <w:rsid w:val="00CF437F"/>
    <w:rsid w:val="00CF6697"/>
    <w:rsid w:val="00D01E88"/>
    <w:rsid w:val="00D0405F"/>
    <w:rsid w:val="00D058AA"/>
    <w:rsid w:val="00D11E26"/>
    <w:rsid w:val="00D11E8E"/>
    <w:rsid w:val="00D12E19"/>
    <w:rsid w:val="00D13DA3"/>
    <w:rsid w:val="00D25830"/>
    <w:rsid w:val="00D26C39"/>
    <w:rsid w:val="00D30EE8"/>
    <w:rsid w:val="00D31F4C"/>
    <w:rsid w:val="00D32410"/>
    <w:rsid w:val="00D3344D"/>
    <w:rsid w:val="00D343F2"/>
    <w:rsid w:val="00D36575"/>
    <w:rsid w:val="00D36659"/>
    <w:rsid w:val="00D415FA"/>
    <w:rsid w:val="00D44C69"/>
    <w:rsid w:val="00D4617B"/>
    <w:rsid w:val="00D505F7"/>
    <w:rsid w:val="00D57CAC"/>
    <w:rsid w:val="00D61690"/>
    <w:rsid w:val="00D61F34"/>
    <w:rsid w:val="00D62340"/>
    <w:rsid w:val="00D6429B"/>
    <w:rsid w:val="00D66249"/>
    <w:rsid w:val="00D67E21"/>
    <w:rsid w:val="00D707E2"/>
    <w:rsid w:val="00D70A5E"/>
    <w:rsid w:val="00D7363A"/>
    <w:rsid w:val="00D7453A"/>
    <w:rsid w:val="00D75494"/>
    <w:rsid w:val="00D87F59"/>
    <w:rsid w:val="00D903BB"/>
    <w:rsid w:val="00D90B37"/>
    <w:rsid w:val="00DA039D"/>
    <w:rsid w:val="00DA075F"/>
    <w:rsid w:val="00DA3E07"/>
    <w:rsid w:val="00DA3E78"/>
    <w:rsid w:val="00DA41D0"/>
    <w:rsid w:val="00DA49BC"/>
    <w:rsid w:val="00DA7A25"/>
    <w:rsid w:val="00DB1096"/>
    <w:rsid w:val="00DB7756"/>
    <w:rsid w:val="00DB7F25"/>
    <w:rsid w:val="00DC00A6"/>
    <w:rsid w:val="00DC0FD2"/>
    <w:rsid w:val="00DC57B1"/>
    <w:rsid w:val="00DC7D73"/>
    <w:rsid w:val="00DD1790"/>
    <w:rsid w:val="00DD36BA"/>
    <w:rsid w:val="00DD73F4"/>
    <w:rsid w:val="00DE1A82"/>
    <w:rsid w:val="00DE39A5"/>
    <w:rsid w:val="00DE3E54"/>
    <w:rsid w:val="00DF7A12"/>
    <w:rsid w:val="00E055C8"/>
    <w:rsid w:val="00E0754F"/>
    <w:rsid w:val="00E11C81"/>
    <w:rsid w:val="00E12C20"/>
    <w:rsid w:val="00E13874"/>
    <w:rsid w:val="00E13D85"/>
    <w:rsid w:val="00E179BA"/>
    <w:rsid w:val="00E17C41"/>
    <w:rsid w:val="00E20E03"/>
    <w:rsid w:val="00E21225"/>
    <w:rsid w:val="00E24A33"/>
    <w:rsid w:val="00E25EC4"/>
    <w:rsid w:val="00E3374A"/>
    <w:rsid w:val="00E33886"/>
    <w:rsid w:val="00E347E1"/>
    <w:rsid w:val="00E413E3"/>
    <w:rsid w:val="00E443CE"/>
    <w:rsid w:val="00E44913"/>
    <w:rsid w:val="00E458A1"/>
    <w:rsid w:val="00E473A7"/>
    <w:rsid w:val="00E51B0E"/>
    <w:rsid w:val="00E52E6B"/>
    <w:rsid w:val="00E556E1"/>
    <w:rsid w:val="00E60A3A"/>
    <w:rsid w:val="00E616C4"/>
    <w:rsid w:val="00E71219"/>
    <w:rsid w:val="00E71651"/>
    <w:rsid w:val="00E80920"/>
    <w:rsid w:val="00E878AE"/>
    <w:rsid w:val="00E87DBD"/>
    <w:rsid w:val="00E90B3D"/>
    <w:rsid w:val="00E9324A"/>
    <w:rsid w:val="00E95BD0"/>
    <w:rsid w:val="00EA3D07"/>
    <w:rsid w:val="00EA4F42"/>
    <w:rsid w:val="00EA64AE"/>
    <w:rsid w:val="00EA6FC3"/>
    <w:rsid w:val="00EB3293"/>
    <w:rsid w:val="00EB4B5C"/>
    <w:rsid w:val="00EB5A97"/>
    <w:rsid w:val="00EC1D0A"/>
    <w:rsid w:val="00ED4AE0"/>
    <w:rsid w:val="00ED4F26"/>
    <w:rsid w:val="00ED576A"/>
    <w:rsid w:val="00EE4A7A"/>
    <w:rsid w:val="00EE7C16"/>
    <w:rsid w:val="00EF3C8C"/>
    <w:rsid w:val="00EF520D"/>
    <w:rsid w:val="00F00126"/>
    <w:rsid w:val="00F0301B"/>
    <w:rsid w:val="00F05660"/>
    <w:rsid w:val="00F05DDF"/>
    <w:rsid w:val="00F1031C"/>
    <w:rsid w:val="00F159B0"/>
    <w:rsid w:val="00F16251"/>
    <w:rsid w:val="00F20242"/>
    <w:rsid w:val="00F23A1D"/>
    <w:rsid w:val="00F26A22"/>
    <w:rsid w:val="00F320D6"/>
    <w:rsid w:val="00F346B1"/>
    <w:rsid w:val="00F363FE"/>
    <w:rsid w:val="00F4065E"/>
    <w:rsid w:val="00F40E34"/>
    <w:rsid w:val="00F42E63"/>
    <w:rsid w:val="00F5405F"/>
    <w:rsid w:val="00F616DC"/>
    <w:rsid w:val="00F67FC9"/>
    <w:rsid w:val="00F73044"/>
    <w:rsid w:val="00F77024"/>
    <w:rsid w:val="00F8030B"/>
    <w:rsid w:val="00F80D11"/>
    <w:rsid w:val="00F8183C"/>
    <w:rsid w:val="00F854DF"/>
    <w:rsid w:val="00F91C04"/>
    <w:rsid w:val="00F94FD6"/>
    <w:rsid w:val="00FA0AB0"/>
    <w:rsid w:val="00FA1574"/>
    <w:rsid w:val="00FA2E11"/>
    <w:rsid w:val="00FA43BA"/>
    <w:rsid w:val="00FB0778"/>
    <w:rsid w:val="00FC3B13"/>
    <w:rsid w:val="00FC5709"/>
    <w:rsid w:val="00FC5750"/>
    <w:rsid w:val="00FC5C32"/>
    <w:rsid w:val="00FC7041"/>
    <w:rsid w:val="00FD2885"/>
    <w:rsid w:val="00FD3EB2"/>
    <w:rsid w:val="00FE0F6F"/>
    <w:rsid w:val="00FE1165"/>
    <w:rsid w:val="00FE2CFE"/>
    <w:rsid w:val="00FE379B"/>
    <w:rsid w:val="00FE433A"/>
    <w:rsid w:val="00FE4450"/>
    <w:rsid w:val="00FE5E18"/>
    <w:rsid w:val="00FE7929"/>
    <w:rsid w:val="00FF155B"/>
    <w:rsid w:val="00FF4DCE"/>
    <w:rsid w:val="00FF539B"/>
    <w:rsid w:val="00FF6122"/>
    <w:rsid w:val="00FF7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00EDD7"/>
  <w15:docId w15:val="{F62D9470-ABD8-452F-B490-B5C22552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B08"/>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CB5"/>
    <w:rPr>
      <w:color w:val="0000FF"/>
      <w:u w:val="single"/>
    </w:rPr>
  </w:style>
  <w:style w:type="paragraph" w:styleId="BalloonText">
    <w:name w:val="Balloon Text"/>
    <w:basedOn w:val="Normal"/>
    <w:link w:val="BalloonTextChar"/>
    <w:rsid w:val="00A22CB5"/>
    <w:rPr>
      <w:rFonts w:ascii="Tahoma" w:hAnsi="Tahoma" w:cs="Tahoma"/>
      <w:sz w:val="16"/>
      <w:szCs w:val="16"/>
    </w:rPr>
  </w:style>
  <w:style w:type="character" w:customStyle="1" w:styleId="BalloonTextChar">
    <w:name w:val="Balloon Text Char"/>
    <w:basedOn w:val="DefaultParagraphFont"/>
    <w:link w:val="BalloonText"/>
    <w:rsid w:val="00A22CB5"/>
    <w:rPr>
      <w:rFonts w:ascii="Tahoma" w:eastAsiaTheme="minorHAnsi" w:hAnsi="Tahoma" w:cs="Tahoma"/>
      <w:sz w:val="16"/>
      <w:szCs w:val="16"/>
    </w:rPr>
  </w:style>
  <w:style w:type="paragraph" w:styleId="FootnoteText">
    <w:name w:val="footnote text"/>
    <w:basedOn w:val="Normal"/>
    <w:link w:val="FootnoteTextChar"/>
    <w:rsid w:val="00543845"/>
    <w:rPr>
      <w:sz w:val="20"/>
      <w:szCs w:val="20"/>
    </w:rPr>
  </w:style>
  <w:style w:type="character" w:customStyle="1" w:styleId="FootnoteTextChar">
    <w:name w:val="Footnote Text Char"/>
    <w:basedOn w:val="DefaultParagraphFont"/>
    <w:link w:val="FootnoteText"/>
    <w:rsid w:val="00543845"/>
    <w:rPr>
      <w:rFonts w:eastAsiaTheme="minorHAnsi"/>
    </w:rPr>
  </w:style>
  <w:style w:type="character" w:styleId="FootnoteReference">
    <w:name w:val="footnote reference"/>
    <w:basedOn w:val="DefaultParagraphFont"/>
    <w:rsid w:val="00543845"/>
    <w:rPr>
      <w:vertAlign w:val="superscript"/>
    </w:rPr>
  </w:style>
  <w:style w:type="character" w:styleId="CommentReference">
    <w:name w:val="annotation reference"/>
    <w:basedOn w:val="DefaultParagraphFont"/>
    <w:rsid w:val="00767BC6"/>
    <w:rPr>
      <w:sz w:val="16"/>
      <w:szCs w:val="16"/>
    </w:rPr>
  </w:style>
  <w:style w:type="paragraph" w:styleId="CommentText">
    <w:name w:val="annotation text"/>
    <w:basedOn w:val="Normal"/>
    <w:link w:val="CommentTextChar"/>
    <w:rsid w:val="00767BC6"/>
    <w:rPr>
      <w:sz w:val="20"/>
      <w:szCs w:val="20"/>
    </w:rPr>
  </w:style>
  <w:style w:type="character" w:customStyle="1" w:styleId="CommentTextChar">
    <w:name w:val="Comment Text Char"/>
    <w:basedOn w:val="DefaultParagraphFont"/>
    <w:link w:val="CommentText"/>
    <w:rsid w:val="00767BC6"/>
    <w:rPr>
      <w:rFonts w:eastAsiaTheme="minorHAnsi"/>
    </w:rPr>
  </w:style>
  <w:style w:type="paragraph" w:styleId="CommentSubject">
    <w:name w:val="annotation subject"/>
    <w:basedOn w:val="CommentText"/>
    <w:next w:val="CommentText"/>
    <w:link w:val="CommentSubjectChar"/>
    <w:rsid w:val="00767BC6"/>
    <w:rPr>
      <w:b/>
      <w:bCs/>
    </w:rPr>
  </w:style>
  <w:style w:type="character" w:customStyle="1" w:styleId="CommentSubjectChar">
    <w:name w:val="Comment Subject Char"/>
    <w:basedOn w:val="CommentTextChar"/>
    <w:link w:val="CommentSubject"/>
    <w:rsid w:val="00767BC6"/>
    <w:rPr>
      <w:rFonts w:eastAsiaTheme="minorHAnsi"/>
      <w:b/>
      <w:bCs/>
    </w:rPr>
  </w:style>
  <w:style w:type="paragraph" w:styleId="ListParagraph">
    <w:name w:val="List Paragraph"/>
    <w:basedOn w:val="Normal"/>
    <w:link w:val="ListParagraphChar"/>
    <w:uiPriority w:val="34"/>
    <w:qFormat/>
    <w:rsid w:val="007C63D9"/>
    <w:pPr>
      <w:ind w:left="720"/>
      <w:contextualSpacing/>
    </w:pPr>
  </w:style>
  <w:style w:type="paragraph" w:customStyle="1" w:styleId="Default">
    <w:name w:val="Default"/>
    <w:rsid w:val="00511E59"/>
    <w:pPr>
      <w:autoSpaceDE w:val="0"/>
      <w:autoSpaceDN w:val="0"/>
      <w:adjustRightInd w:val="0"/>
    </w:pPr>
    <w:rPr>
      <w:rFonts w:ascii="Tahoma" w:hAnsi="Tahoma" w:cs="Tahoma"/>
      <w:color w:val="000000"/>
      <w:sz w:val="24"/>
      <w:szCs w:val="24"/>
    </w:rPr>
  </w:style>
  <w:style w:type="character" w:customStyle="1" w:styleId="FootnoteTextChar1">
    <w:name w:val="Footnote Text Char1"/>
    <w:basedOn w:val="DefaultParagraphFont"/>
    <w:rsid w:val="00911242"/>
    <w:rPr>
      <w:rFonts w:ascii="Calibri" w:hAnsi="Calibri"/>
      <w:lang w:eastAsia="en-US"/>
    </w:rPr>
  </w:style>
  <w:style w:type="paragraph" w:styleId="Header">
    <w:name w:val="header"/>
    <w:basedOn w:val="Normal"/>
    <w:link w:val="HeaderChar"/>
    <w:uiPriority w:val="99"/>
    <w:rsid w:val="009C46B9"/>
    <w:pPr>
      <w:tabs>
        <w:tab w:val="center" w:pos="4513"/>
        <w:tab w:val="right" w:pos="9026"/>
      </w:tabs>
    </w:pPr>
  </w:style>
  <w:style w:type="character" w:customStyle="1" w:styleId="HeaderChar">
    <w:name w:val="Header Char"/>
    <w:basedOn w:val="DefaultParagraphFont"/>
    <w:link w:val="Header"/>
    <w:uiPriority w:val="99"/>
    <w:rsid w:val="009C46B9"/>
    <w:rPr>
      <w:rFonts w:eastAsiaTheme="minorHAnsi"/>
      <w:sz w:val="24"/>
      <w:szCs w:val="24"/>
    </w:rPr>
  </w:style>
  <w:style w:type="paragraph" w:styleId="Footer">
    <w:name w:val="footer"/>
    <w:basedOn w:val="Normal"/>
    <w:link w:val="FooterChar"/>
    <w:uiPriority w:val="99"/>
    <w:rsid w:val="009C46B9"/>
    <w:pPr>
      <w:tabs>
        <w:tab w:val="center" w:pos="4513"/>
        <w:tab w:val="right" w:pos="9026"/>
      </w:tabs>
    </w:pPr>
  </w:style>
  <w:style w:type="character" w:customStyle="1" w:styleId="FooterChar">
    <w:name w:val="Footer Char"/>
    <w:basedOn w:val="DefaultParagraphFont"/>
    <w:link w:val="Footer"/>
    <w:uiPriority w:val="99"/>
    <w:rsid w:val="009C46B9"/>
    <w:rPr>
      <w:rFonts w:eastAsiaTheme="minorHAnsi"/>
      <w:sz w:val="24"/>
      <w:szCs w:val="24"/>
    </w:rPr>
  </w:style>
  <w:style w:type="paragraph" w:styleId="NormalWeb">
    <w:name w:val="Normal (Web)"/>
    <w:basedOn w:val="Normal"/>
    <w:uiPriority w:val="99"/>
    <w:unhideWhenUsed/>
    <w:rsid w:val="00926887"/>
    <w:pPr>
      <w:spacing w:before="100" w:beforeAutospacing="1" w:after="100" w:afterAutospacing="1"/>
    </w:pPr>
    <w:rPr>
      <w:rFonts w:eastAsia="Times New Roman"/>
    </w:rPr>
  </w:style>
  <w:style w:type="table" w:styleId="TableGrid">
    <w:name w:val="Table Grid"/>
    <w:basedOn w:val="TableNormal"/>
    <w:rsid w:val="0077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6575"/>
    <w:pPr>
      <w:widowControl w:val="0"/>
      <w:spacing w:before="120"/>
      <w:ind w:left="118"/>
    </w:pPr>
    <w:rPr>
      <w:rFonts w:ascii="Arial" w:eastAsia="Arial" w:hAnsi="Arial"/>
      <w:lang w:val="en-US" w:eastAsia="en-US"/>
    </w:rPr>
  </w:style>
  <w:style w:type="character" w:customStyle="1" w:styleId="BodyTextChar">
    <w:name w:val="Body Text Char"/>
    <w:basedOn w:val="DefaultParagraphFont"/>
    <w:link w:val="BodyText"/>
    <w:uiPriority w:val="1"/>
    <w:rsid w:val="00D36575"/>
    <w:rPr>
      <w:rFonts w:ascii="Arial" w:eastAsia="Arial" w:hAnsi="Arial"/>
      <w:sz w:val="24"/>
      <w:szCs w:val="24"/>
      <w:lang w:val="en-US" w:eastAsia="en-US"/>
    </w:rPr>
  </w:style>
  <w:style w:type="character" w:customStyle="1" w:styleId="st1">
    <w:name w:val="st1"/>
    <w:basedOn w:val="DefaultParagraphFont"/>
    <w:rsid w:val="00F20242"/>
  </w:style>
  <w:style w:type="character" w:styleId="FollowedHyperlink">
    <w:name w:val="FollowedHyperlink"/>
    <w:basedOn w:val="DefaultParagraphFont"/>
    <w:rsid w:val="005E51A2"/>
    <w:rPr>
      <w:color w:val="800080" w:themeColor="followedHyperlink"/>
      <w:u w:val="single"/>
    </w:rPr>
  </w:style>
  <w:style w:type="character" w:customStyle="1" w:styleId="ListParagraphChar">
    <w:name w:val="List Paragraph Char"/>
    <w:link w:val="ListParagraph"/>
    <w:uiPriority w:val="34"/>
    <w:rsid w:val="007C57B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106">
      <w:bodyDiv w:val="1"/>
      <w:marLeft w:val="0"/>
      <w:marRight w:val="0"/>
      <w:marTop w:val="0"/>
      <w:marBottom w:val="0"/>
      <w:divBdr>
        <w:top w:val="none" w:sz="0" w:space="0" w:color="auto"/>
        <w:left w:val="none" w:sz="0" w:space="0" w:color="auto"/>
        <w:bottom w:val="none" w:sz="0" w:space="0" w:color="auto"/>
        <w:right w:val="none" w:sz="0" w:space="0" w:color="auto"/>
      </w:divBdr>
    </w:div>
    <w:div w:id="408963487">
      <w:bodyDiv w:val="1"/>
      <w:marLeft w:val="0"/>
      <w:marRight w:val="0"/>
      <w:marTop w:val="0"/>
      <w:marBottom w:val="0"/>
      <w:divBdr>
        <w:top w:val="none" w:sz="0" w:space="0" w:color="auto"/>
        <w:left w:val="none" w:sz="0" w:space="0" w:color="auto"/>
        <w:bottom w:val="none" w:sz="0" w:space="0" w:color="auto"/>
        <w:right w:val="none" w:sz="0" w:space="0" w:color="auto"/>
      </w:divBdr>
    </w:div>
    <w:div w:id="581063914">
      <w:bodyDiv w:val="1"/>
      <w:marLeft w:val="0"/>
      <w:marRight w:val="0"/>
      <w:marTop w:val="0"/>
      <w:marBottom w:val="0"/>
      <w:divBdr>
        <w:top w:val="none" w:sz="0" w:space="0" w:color="auto"/>
        <w:left w:val="none" w:sz="0" w:space="0" w:color="auto"/>
        <w:bottom w:val="none" w:sz="0" w:space="0" w:color="auto"/>
        <w:right w:val="none" w:sz="0" w:space="0" w:color="auto"/>
      </w:divBdr>
    </w:div>
    <w:div w:id="902059609">
      <w:bodyDiv w:val="1"/>
      <w:marLeft w:val="0"/>
      <w:marRight w:val="0"/>
      <w:marTop w:val="0"/>
      <w:marBottom w:val="0"/>
      <w:divBdr>
        <w:top w:val="none" w:sz="0" w:space="0" w:color="auto"/>
        <w:left w:val="none" w:sz="0" w:space="0" w:color="auto"/>
        <w:bottom w:val="none" w:sz="0" w:space="0" w:color="auto"/>
        <w:right w:val="none" w:sz="0" w:space="0" w:color="auto"/>
      </w:divBdr>
    </w:div>
    <w:div w:id="1095515368">
      <w:bodyDiv w:val="1"/>
      <w:marLeft w:val="0"/>
      <w:marRight w:val="0"/>
      <w:marTop w:val="0"/>
      <w:marBottom w:val="0"/>
      <w:divBdr>
        <w:top w:val="none" w:sz="0" w:space="0" w:color="auto"/>
        <w:left w:val="none" w:sz="0" w:space="0" w:color="auto"/>
        <w:bottom w:val="none" w:sz="0" w:space="0" w:color="auto"/>
        <w:right w:val="none" w:sz="0" w:space="0" w:color="auto"/>
      </w:divBdr>
    </w:div>
    <w:div w:id="1104301036">
      <w:bodyDiv w:val="1"/>
      <w:marLeft w:val="0"/>
      <w:marRight w:val="0"/>
      <w:marTop w:val="0"/>
      <w:marBottom w:val="0"/>
      <w:divBdr>
        <w:top w:val="none" w:sz="0" w:space="0" w:color="auto"/>
        <w:left w:val="none" w:sz="0" w:space="0" w:color="auto"/>
        <w:bottom w:val="none" w:sz="0" w:space="0" w:color="auto"/>
        <w:right w:val="none" w:sz="0" w:space="0" w:color="auto"/>
      </w:divBdr>
      <w:divsChild>
        <w:div w:id="118035329">
          <w:marLeft w:val="0"/>
          <w:marRight w:val="0"/>
          <w:marTop w:val="0"/>
          <w:marBottom w:val="0"/>
          <w:divBdr>
            <w:top w:val="none" w:sz="0" w:space="0" w:color="auto"/>
            <w:left w:val="none" w:sz="0" w:space="0" w:color="auto"/>
            <w:bottom w:val="none" w:sz="0" w:space="0" w:color="auto"/>
            <w:right w:val="none" w:sz="0" w:space="0" w:color="auto"/>
          </w:divBdr>
          <w:divsChild>
            <w:div w:id="1191649499">
              <w:marLeft w:val="0"/>
              <w:marRight w:val="0"/>
              <w:marTop w:val="0"/>
              <w:marBottom w:val="0"/>
              <w:divBdr>
                <w:top w:val="none" w:sz="0" w:space="0" w:color="auto"/>
                <w:left w:val="none" w:sz="0" w:space="0" w:color="auto"/>
                <w:bottom w:val="none" w:sz="0" w:space="0" w:color="auto"/>
                <w:right w:val="none" w:sz="0" w:space="0" w:color="auto"/>
              </w:divBdr>
              <w:divsChild>
                <w:div w:id="1364938729">
                  <w:marLeft w:val="0"/>
                  <w:marRight w:val="0"/>
                  <w:marTop w:val="0"/>
                  <w:marBottom w:val="0"/>
                  <w:divBdr>
                    <w:top w:val="none" w:sz="0" w:space="0" w:color="auto"/>
                    <w:left w:val="none" w:sz="0" w:space="0" w:color="auto"/>
                    <w:bottom w:val="none" w:sz="0" w:space="0" w:color="auto"/>
                    <w:right w:val="none" w:sz="0" w:space="0" w:color="auto"/>
                  </w:divBdr>
                  <w:divsChild>
                    <w:div w:id="1039401472">
                      <w:marLeft w:val="0"/>
                      <w:marRight w:val="0"/>
                      <w:marTop w:val="0"/>
                      <w:marBottom w:val="0"/>
                      <w:divBdr>
                        <w:top w:val="none" w:sz="0" w:space="0" w:color="auto"/>
                        <w:left w:val="none" w:sz="0" w:space="0" w:color="auto"/>
                        <w:bottom w:val="none" w:sz="0" w:space="0" w:color="auto"/>
                        <w:right w:val="none" w:sz="0" w:space="0" w:color="auto"/>
                      </w:divBdr>
                      <w:divsChild>
                        <w:div w:id="1940680159">
                          <w:marLeft w:val="0"/>
                          <w:marRight w:val="0"/>
                          <w:marTop w:val="0"/>
                          <w:marBottom w:val="0"/>
                          <w:divBdr>
                            <w:top w:val="none" w:sz="0" w:space="0" w:color="auto"/>
                            <w:left w:val="none" w:sz="0" w:space="0" w:color="auto"/>
                            <w:bottom w:val="none" w:sz="0" w:space="0" w:color="auto"/>
                            <w:right w:val="none" w:sz="0" w:space="0" w:color="auto"/>
                          </w:divBdr>
                          <w:divsChild>
                            <w:div w:id="468013899">
                              <w:marLeft w:val="0"/>
                              <w:marRight w:val="0"/>
                              <w:marTop w:val="0"/>
                              <w:marBottom w:val="0"/>
                              <w:divBdr>
                                <w:top w:val="none" w:sz="0" w:space="0" w:color="auto"/>
                                <w:left w:val="none" w:sz="0" w:space="0" w:color="auto"/>
                                <w:bottom w:val="none" w:sz="0" w:space="0" w:color="auto"/>
                                <w:right w:val="none" w:sz="0" w:space="0" w:color="auto"/>
                              </w:divBdr>
                              <w:divsChild>
                                <w:div w:id="2144420005">
                                  <w:marLeft w:val="0"/>
                                  <w:marRight w:val="0"/>
                                  <w:marTop w:val="0"/>
                                  <w:marBottom w:val="0"/>
                                  <w:divBdr>
                                    <w:top w:val="none" w:sz="0" w:space="0" w:color="auto"/>
                                    <w:left w:val="none" w:sz="0" w:space="0" w:color="auto"/>
                                    <w:bottom w:val="none" w:sz="0" w:space="0" w:color="auto"/>
                                    <w:right w:val="none" w:sz="0" w:space="0" w:color="auto"/>
                                  </w:divBdr>
                                  <w:divsChild>
                                    <w:div w:id="493642395">
                                      <w:marLeft w:val="0"/>
                                      <w:marRight w:val="0"/>
                                      <w:marTop w:val="0"/>
                                      <w:marBottom w:val="0"/>
                                      <w:divBdr>
                                        <w:top w:val="none" w:sz="0" w:space="0" w:color="auto"/>
                                        <w:left w:val="none" w:sz="0" w:space="0" w:color="auto"/>
                                        <w:bottom w:val="none" w:sz="0" w:space="0" w:color="auto"/>
                                        <w:right w:val="none" w:sz="0" w:space="0" w:color="auto"/>
                                      </w:divBdr>
                                      <w:divsChild>
                                        <w:div w:id="163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2039">
      <w:bodyDiv w:val="1"/>
      <w:marLeft w:val="0"/>
      <w:marRight w:val="0"/>
      <w:marTop w:val="0"/>
      <w:marBottom w:val="0"/>
      <w:divBdr>
        <w:top w:val="none" w:sz="0" w:space="0" w:color="auto"/>
        <w:left w:val="none" w:sz="0" w:space="0" w:color="auto"/>
        <w:bottom w:val="none" w:sz="0" w:space="0" w:color="auto"/>
        <w:right w:val="none" w:sz="0" w:space="0" w:color="auto"/>
      </w:divBdr>
    </w:div>
    <w:div w:id="1191454861">
      <w:bodyDiv w:val="1"/>
      <w:marLeft w:val="0"/>
      <w:marRight w:val="0"/>
      <w:marTop w:val="0"/>
      <w:marBottom w:val="0"/>
      <w:divBdr>
        <w:top w:val="none" w:sz="0" w:space="0" w:color="auto"/>
        <w:left w:val="none" w:sz="0" w:space="0" w:color="auto"/>
        <w:bottom w:val="none" w:sz="0" w:space="0" w:color="auto"/>
        <w:right w:val="none" w:sz="0" w:space="0" w:color="auto"/>
      </w:divBdr>
    </w:div>
    <w:div w:id="1224609294">
      <w:bodyDiv w:val="1"/>
      <w:marLeft w:val="0"/>
      <w:marRight w:val="0"/>
      <w:marTop w:val="0"/>
      <w:marBottom w:val="0"/>
      <w:divBdr>
        <w:top w:val="none" w:sz="0" w:space="0" w:color="auto"/>
        <w:left w:val="none" w:sz="0" w:space="0" w:color="auto"/>
        <w:bottom w:val="none" w:sz="0" w:space="0" w:color="auto"/>
        <w:right w:val="none" w:sz="0" w:space="0" w:color="auto"/>
      </w:divBdr>
    </w:div>
    <w:div w:id="1354109722">
      <w:bodyDiv w:val="1"/>
      <w:marLeft w:val="0"/>
      <w:marRight w:val="0"/>
      <w:marTop w:val="0"/>
      <w:marBottom w:val="0"/>
      <w:divBdr>
        <w:top w:val="none" w:sz="0" w:space="0" w:color="auto"/>
        <w:left w:val="none" w:sz="0" w:space="0" w:color="auto"/>
        <w:bottom w:val="none" w:sz="0" w:space="0" w:color="auto"/>
        <w:right w:val="none" w:sz="0" w:space="0" w:color="auto"/>
      </w:divBdr>
    </w:div>
    <w:div w:id="1479566785">
      <w:bodyDiv w:val="1"/>
      <w:marLeft w:val="0"/>
      <w:marRight w:val="0"/>
      <w:marTop w:val="0"/>
      <w:marBottom w:val="0"/>
      <w:divBdr>
        <w:top w:val="none" w:sz="0" w:space="0" w:color="auto"/>
        <w:left w:val="none" w:sz="0" w:space="0" w:color="auto"/>
        <w:bottom w:val="none" w:sz="0" w:space="0" w:color="auto"/>
        <w:right w:val="none" w:sz="0" w:space="0" w:color="auto"/>
      </w:divBdr>
    </w:div>
    <w:div w:id="1626109778">
      <w:bodyDiv w:val="1"/>
      <w:marLeft w:val="0"/>
      <w:marRight w:val="0"/>
      <w:marTop w:val="0"/>
      <w:marBottom w:val="0"/>
      <w:divBdr>
        <w:top w:val="none" w:sz="0" w:space="0" w:color="auto"/>
        <w:left w:val="none" w:sz="0" w:space="0" w:color="auto"/>
        <w:bottom w:val="none" w:sz="0" w:space="0" w:color="auto"/>
        <w:right w:val="none" w:sz="0" w:space="0" w:color="auto"/>
      </w:divBdr>
    </w:div>
    <w:div w:id="1627737429">
      <w:bodyDiv w:val="1"/>
      <w:marLeft w:val="0"/>
      <w:marRight w:val="0"/>
      <w:marTop w:val="0"/>
      <w:marBottom w:val="0"/>
      <w:divBdr>
        <w:top w:val="none" w:sz="0" w:space="0" w:color="auto"/>
        <w:left w:val="none" w:sz="0" w:space="0" w:color="auto"/>
        <w:bottom w:val="none" w:sz="0" w:space="0" w:color="auto"/>
        <w:right w:val="none" w:sz="0" w:space="0" w:color="auto"/>
      </w:divBdr>
    </w:div>
    <w:div w:id="1705905212">
      <w:bodyDiv w:val="1"/>
      <w:marLeft w:val="0"/>
      <w:marRight w:val="0"/>
      <w:marTop w:val="0"/>
      <w:marBottom w:val="0"/>
      <w:divBdr>
        <w:top w:val="none" w:sz="0" w:space="0" w:color="auto"/>
        <w:left w:val="none" w:sz="0" w:space="0" w:color="auto"/>
        <w:bottom w:val="none" w:sz="0" w:space="0" w:color="auto"/>
        <w:right w:val="none" w:sz="0" w:space="0" w:color="auto"/>
      </w:divBdr>
    </w:div>
    <w:div w:id="1740790339">
      <w:bodyDiv w:val="1"/>
      <w:marLeft w:val="0"/>
      <w:marRight w:val="0"/>
      <w:marTop w:val="0"/>
      <w:marBottom w:val="0"/>
      <w:divBdr>
        <w:top w:val="none" w:sz="0" w:space="0" w:color="auto"/>
        <w:left w:val="none" w:sz="0" w:space="0" w:color="auto"/>
        <w:bottom w:val="none" w:sz="0" w:space="0" w:color="auto"/>
        <w:right w:val="none" w:sz="0" w:space="0" w:color="auto"/>
      </w:divBdr>
    </w:div>
    <w:div w:id="1751385709">
      <w:bodyDiv w:val="1"/>
      <w:marLeft w:val="0"/>
      <w:marRight w:val="0"/>
      <w:marTop w:val="0"/>
      <w:marBottom w:val="0"/>
      <w:divBdr>
        <w:top w:val="none" w:sz="0" w:space="0" w:color="auto"/>
        <w:left w:val="none" w:sz="0" w:space="0" w:color="auto"/>
        <w:bottom w:val="none" w:sz="0" w:space="0" w:color="auto"/>
        <w:right w:val="none" w:sz="0" w:space="0" w:color="auto"/>
      </w:divBdr>
    </w:div>
    <w:div w:id="1979798526">
      <w:bodyDiv w:val="1"/>
      <w:marLeft w:val="0"/>
      <w:marRight w:val="0"/>
      <w:marTop w:val="0"/>
      <w:marBottom w:val="0"/>
      <w:divBdr>
        <w:top w:val="none" w:sz="0" w:space="0" w:color="auto"/>
        <w:left w:val="none" w:sz="0" w:space="0" w:color="auto"/>
        <w:bottom w:val="none" w:sz="0" w:space="0" w:color="auto"/>
        <w:right w:val="none" w:sz="0" w:space="0" w:color="auto"/>
      </w:divBdr>
    </w:div>
    <w:div w:id="20434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D5527A5EDCE90448EFD848664AF433D" ma:contentTypeVersion="2" ma:contentTypeDescription="Create a new document." ma:contentTypeScope="" ma:versionID="87f39fba38848b3cd14d460186220fff">
  <xsd:schema xmlns:xsd="http://www.w3.org/2001/XMLSchema" xmlns:xs="http://www.w3.org/2001/XMLSchema" xmlns:p="http://schemas.microsoft.com/office/2006/metadata/properties" targetNamespace="http://schemas.microsoft.com/office/2006/metadata/properties" ma:root="true" ma:fieldsID="377835457f664d610843707db65827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C21F3-C7E9-434B-B13C-684A5029BDC2}">
  <ds:schemaRefs>
    <ds:schemaRef ds:uri="Microsoft.SharePoint.Taxonomy.ContentTypeSync"/>
  </ds:schemaRefs>
</ds:datastoreItem>
</file>

<file path=customXml/itemProps2.xml><?xml version="1.0" encoding="utf-8"?>
<ds:datastoreItem xmlns:ds="http://schemas.openxmlformats.org/officeDocument/2006/customXml" ds:itemID="{A292E18E-2504-4A64-916B-423E604CF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936F1C-277B-49D7-B33A-B61032126475}">
  <ds:schemaRefs>
    <ds:schemaRef ds:uri="http://schemas.openxmlformats.org/officeDocument/2006/bibliography"/>
  </ds:schemaRefs>
</ds:datastoreItem>
</file>

<file path=customXml/itemProps4.xml><?xml version="1.0" encoding="utf-8"?>
<ds:datastoreItem xmlns:ds="http://schemas.openxmlformats.org/officeDocument/2006/customXml" ds:itemID="{298B9326-C438-4B8E-84E3-6266135F4F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18D608-81D9-46A5-B5BC-D1189ED93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Brown</dc:creator>
  <cp:keywords/>
  <dc:description/>
  <cp:lastModifiedBy>Alice Clarke</cp:lastModifiedBy>
  <cp:revision>2</cp:revision>
  <cp:lastPrinted>2017-10-23T10:26:00Z</cp:lastPrinted>
  <dcterms:created xsi:type="dcterms:W3CDTF">2021-09-14T10:52:00Z</dcterms:created>
  <dcterms:modified xsi:type="dcterms:W3CDTF">2021-09-14T10:52:00Z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0x010100CD5527A5EDCE90448EFD848664AF433D</vt:lpwstr>
  </property>
  <property fmtid="{D5CDD505-2E9C-101B-9397-08002B2CF9AE}" pid="3" name="IsMyDocuments">
    <vt:bool>true</vt:bool>
  </property>
</Properties>
</file>